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021" w:rsidRPr="00303021" w:rsidRDefault="00303021" w:rsidP="00303021">
      <w:pPr>
        <w:ind w:left="720"/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tabs>
          <w:tab w:val="center" w:pos="4680"/>
          <w:tab w:val="left" w:pos="7215"/>
        </w:tabs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  <w:t xml:space="preserve">المطلب الثالث </w:t>
      </w: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عناصر استقلال البنك المركزي عن السلطة التنفيذية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يتفق الجميع على أن استقلال البنك المركزي يجب أن يكون حقيقيا ومدعما بالوسائل اللازمة لتمكين البنك من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القيام بوظائفه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تحقيق أهدافه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، ولكي يتحقق هذا الاستقلال فلابد أن يستقل البنك بإدارة شؤونه المالية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والإدارية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والفنية 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فالاستقلال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بأوجهه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 والفنية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حجر الزاوية في تكوين البنك المركزي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وسنقف على العن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اصر المذكورة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الفر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ثلاثة التالية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</w:t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الفرع الأول </w:t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الاستقلال المالي للبنك المركزي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يقصد بالاستقلال المالي أن يكون تحت تصرف البنك المركزي ايرادات خاصة به يتولى البنك تحديد مقدارها بحرية كاملة تضمن قيامه باعبائه على أتم وجه ، وأن يستطيع البنك أن يحضر موازنته ، وأن يتولى إقرارها بنفسه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وأن يمسك الحسابات الخاصة به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2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مع إمكانية دعم الاستقلال المالي بوسائل ساندة أو مساعدة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vanish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شمول البنك المركزي بالاعفاء الضريبي ، واخضاعه لرقابة مالية تتلائم مع طبيعة نشاطه . وسنتكلم هنا بالتفصيل عن الوسائل المحققة للاستقلال المالي للبنك المركزي ، وعن الوسائل المساعدة لذلك الاستقلال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أولا : الوسائل التي يتحقق بها الاستقلال المالي للبنك المركزي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تتمثل هذه الوسائل بوجوب السماح لأن تكون للبنك موارد مالية خاصة به ، وأن يختص بموازنة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وسنتناول تلك الوسائل في البيان التالي :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1 – مقدرة البنك المركزي على تكوين موارد مالية ذاتية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إن الاستقلال المالي 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 معناه انها تستطيع ، من حيث الواقع ، تكوين الموارد المالية الخاصة بها ، ومن ثم اختيار الاسلوب الذي يلائم نشاطها ، فمتى تحقق ذلك أمكن القول بوجود استقلال مالي حقيقي أو فعلي . وبالمثل أيضا فإن اله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يئ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ة التي يتكون الجزء الأكبر من موازنتها من اعانات ، ومنح ، ومساعدات تقدمها الحكومة ، فإنها 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ذات استقلال مالي ظاهري أو فعلي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ولو اطلعنا على قوانين البنوك المركزية المقارنة لألفينا أنها أجازت أن يكون للبنك المركزي رأس مال ، لكن القوانين المذكورة اختلفت في تسمية الجهة التي تدفع رأس المال ، والجهة التي تمتلكه ، فبعضها وصف تلك الجهة بالدولة ، مثل قانون البنك المركزي الأردني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وبعضها الآخر بالحكومة ،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مصرف البحرين المركزي ، وقانون بنك الكويت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وبعض القوانين لم يحدد الجهة التي تدفع رأس مال البنك المركزي ، ولا الجهة التي تمتلك رأس المال المدفوع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البنك المركزي المصري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6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ومهما يكن من أمر ، فإن من يدفع رأس مال التأسيس للبنك المركزي هو الخزينة العامة للدولة ممثلة بوزارة المالية ولا يتصور أن يكون شخصا من أشخاص القانون الخاص.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وفي رأينا أن البنك المركزي مادام يتمتع بالشخصية المعنوية المستقلة ، وله ذمة مالية خاصة به فلابد أن يمتلك ، هو دون غيره ، رأس المال المدفوع له ، كيما يتحقق له الاستقلال المالي الحقيقي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ولكن إذا ما تحقق للبنك المركزي ربح من رأس ماله فأين يذهب هذا الربح ؟ وبالمقابل إذا ما تعرض البنك المذكور للخسارة فمن الجهة التي تتحمل تلك الخسارة ؟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أوجب بعض القوانين أن تذهب الأرباح إلى الحساب الاحتياطي العام ، وإلى حساب احتياطي الطوارئ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والمتبقي من الأرباح يحول إلى الخزينة العامة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7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أما الخسارة المتحققة أو العجز الحاصل فإن الدولة تتكفل بتغطيته ، وأجاز بعض القوانين أن تسترد الدولة ما دفعته من أموال إلى البنك المركزي من أرباحه المستقبلية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8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وعودة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إلى قانون البنك المركزي العراقي النافذ يلاحظ أنه خص البنك برأسمال مقداره (واحد ) ترليون دينار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تملكه الدولة بالكامل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9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وعند تحقق أرباح صافية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0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يحول ( 80 % ) منها إلى حساب الاحتياط العام للبنك حتى تصل قيمة المبلغ في هذا الحساب إلى ( 10% ) من اجمالي أصول البنك ، وما تبقى من أرباح صافية يحول إلى أي حساب احتياطي آخر يقرر البنك انشائه ، ويتوقف توزيع الأرباح فورا إذا أدى التوزيع إلى انخفاض أصول البنك المركزي عن مجموع خصومه ، وفي حالة تعرض موازنة البنك إلى عجز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؛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فإنه يُغطى من قبل الحكومة بعد موافقة السلطة التشريعية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وما يلاحظ هنا أن قانون البنك المركزي العراقي حمل الخزينة العامة مسؤولية تقديم الدعم المالي للبنك المركزي في حالة تعرضه للخسارة ، لكن القانون المذكور خلا من نص يُلزم البنك بتقديم حصة من ارباحه للخزينة العامة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مع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أن المنطق وطبيعة الأشياء يقتضيان أن تخصص حصة من أرباح البنك المركزي للخزينة العامة حسب القاعدة التي مؤداها أن الغرم بالغنم ، وهو ما سبق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قرره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المشرع في قانون البنك المركزي الملغى لسنة 1976 الذي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أوجب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مادته ( 5 ) بأن يحتفظ البنك المركزي ب ( 10% ) من الربح الصافي في حساب احتياطي رأس المال إلى أن يبلغ هذا الحساب ما يعادل رأس المال المقر للبنك ، وأن يحتفظ البنك بنسبة لا تقل عن ( 10% ) ولا تتجاوز( 20%) من الربح الصافي في حساب احتياطي الطوارئ إلى أن يبلغ هذا الحساب ثلاثة أضعاف رأس المال المقرر للبنك ، ويدفع ما تبقى من الربح الصافي للخزينة العامة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2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عموما فإننا نرى أن تخصيص نسبة من أرباح البنك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المركزي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للخزينة العامة من شأنه أن يحد من طلبات الحكومة في الإقتراض أو طلب المساعدة المالية من البنك الم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ذكور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حري بالاشارة إليه أن المشرع العراقي خص البنك المركزي بمورد مالي هام تمثل بالغرامات التي يفرضها البنك المذكور على المصارف التي تخالف أحكام قانون المصارف النافذ رقم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( 94 ) لسنة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2004 فحصيلة الغرامات لا تذهب إلى الخزينة العامة بل تصب في خزينة البنك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بوصفها مورد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خاص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به ، وهذا التخصيص من شأنه أن يُعزز ، بلا شك ، استقلال البنك المركزي في إدارة شؤونه المالية.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2 –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استقلال </w:t>
      </w: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البنك المركزي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بموازنة خاصة به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من المعلوم أن وجود موازنة مالية سنوية للهي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 العامة من شأنه أن يُسهم في انتظام عملية صرف النفقات وجباية الايرادات الخاصة بتلك الهي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والتعرف على حقيقة مركزها المالي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ومع ذلك فإن دولا كثيرة لم تكتف بأن تكون للبنوك المركزية موازنات خاصة بها بل ذهبت إلى أبعد من ذلك عندما خصت البنوك المذكورة بموازنات مستقلة ، وهي التي يجري اعدادها ، واقرارها بشكل مستقل عن موازنة الدولة وتظهر في وثيقة منفصلة عنها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وتعد استثناء على قاعدة وحدة الموازنة العامة 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ويرى بعض الكتاب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مبرر قانوني وجيه يبرر اختصاص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بموازنات مستقلة يتمثل في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تلك الهيئات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تمثل مصالح لها شخصية معنوية ، فلإنفصال ذمتها المالية عن ذمة الدولة وجب وضع موازنة منفصلة لها ، فالموازنة المستقلة نتيجة حتمية لتشخيص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 التي من بينها البنوك المركزية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وهذا الكلام ، من وجهة نظرنا ، تعوزه الدقة فتزويد جهة ما بالشخصية المعنوية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وبالإستقلا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ين المالي والإداري 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يستتبع حتما انفراد تلك الجهة بموازنة خاصة بها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ومنفصلة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عن موازنة الدولة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بدليل أن الوحدات الإدارية اللامركزية الإقليمية في العراق الممثلة بالمحافظة ، والقضاء ، والناحية ، لا تختص بموازنات مستقلة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6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على الرغم من تمتعها بالشخصية المعنوية المستقلة عن شخصية الدولة وبالاستقلالين المالي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7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وفي هذا تقول المحكمة الإتحادية العليا في العراق بأن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: ( ... منح الشخصية المعنوية لمؤسسة أو لدائرة حكومية لا يمنحها بالضرورة الحق باعداد موازنتها السنوية بصورة مستقلة ومنفصلة عن مرجعها الإداري الأعلى إذ ليس هناك تلازم بين الشخصية المعنوية والميزانية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المستقلة ... )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8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عليه فإن تزويد البنك المركزي بصلاحية اعداد موازنته السنوية بصورة منفردة ومستقلة عن مشروع الموازنة العامة للدولة انما هو في الأصل خيار تشريعي يعود تقديره إلى السلطة التشريعية وحدها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متى ما خولها الدستور ذلك . فقد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ترى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السلطة التشريعية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ضرورات عملية تدعو إلى اختصاص البنك المذكور بموازنة مستقلة ، مثل المساعدة في إظهار حقيقة المركز المالي السنوي للبنك المركزي وعلى ضوء ذلك يستطيع البنك إما التوسع أو الإقلال من نشاطه ، أو الإبقاء عليه مع إصلاح طرق إدارته وتحسينها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إضافة إلى أن الموازنة المستقلة تمد المشرع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ذاته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بقدر من المرونة في كيفية التصرف بالناتج المتحقق ، فقد يفضل المشرع عودة الفائض المتحقق إلى الموازنة العامة للدولة ، أو ترحيله إلى السنة المالية القادمة أو وضعه في حساب البنك المركزي الاحتياطي حيث تتوافر فرص استخدام هذا الاحتياطي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غراض الايفاء بمتطلبات السياسة النقدية ، والائتمانية ، والمصرفية 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والأهم من كل ذلك أن وجود موازنة مستقلة تختص بها البنوك المركزية يخلصها من ضغوط السلطة التنفيذية بحكم عدم مرور تلك الموازنة بوزارة المالية ، وعدم عرضها على الحكومة .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لكن لما كان وجود الموازنات المستقلة يمثل استثناء على قاعدة وحدة الموازنة العامة للدولة كما تقدم البيان ؛ فإن من الضروري أن يسمح الدستور بالخروج على هذه القاعدة بنص صريح كيما تجد الهيئات التي تتقرر لها تلك الموازنات سندا دستوريا يبرر خروجها عن قاعدة الوحدة . ولو اطلعنا على الدساتير المقارنة لألفينا أنها اتجهت إلى اتجاهين أثنين : دساتير اجازت العمل بالموازنات المستقلة من دون قصر تلك الموازنات على جهة معينة ، ودساتير أجازت العمل بالموازنات المستقلة مع قصرها على جهات معينة ليس من بينها البنك المركزي  . وسوف نقف على هذين الإتجاهين في البيان التالي :</w:t>
      </w:r>
    </w:p>
    <w:p w:rsidR="00D30332" w:rsidRDefault="00BE2F6F" w:rsidP="00303021">
      <w:pPr>
        <w:bidi/>
        <w:rPr>
          <w:lang w:bidi="ar-IQ"/>
        </w:rPr>
      </w:pP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7CB" w:rsidRDefault="00B107CB" w:rsidP="00303021">
      <w:pPr>
        <w:spacing w:after="0" w:line="240" w:lineRule="auto"/>
      </w:pPr>
      <w:r>
        <w:separator/>
      </w:r>
    </w:p>
  </w:endnote>
  <w:endnote w:type="continuationSeparator" w:id="0">
    <w:p w:rsidR="00B107CB" w:rsidRDefault="00B107CB" w:rsidP="003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7CB" w:rsidRDefault="00B107CB" w:rsidP="00303021">
      <w:pPr>
        <w:spacing w:after="0" w:line="240" w:lineRule="auto"/>
      </w:pPr>
      <w:r>
        <w:separator/>
      </w:r>
    </w:p>
  </w:footnote>
  <w:footnote w:type="continuationSeparator" w:id="0">
    <w:p w:rsidR="00B107CB" w:rsidRDefault="00B107CB" w:rsidP="00303021">
      <w:pPr>
        <w:spacing w:after="0" w:line="240" w:lineRule="auto"/>
      </w:pPr>
      <w:r>
        <w:continuationSeparator/>
      </w:r>
    </w:p>
  </w:footnote>
  <w:footnote w:id="1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في معنى الاستقلال المالي د . عصام بشور ، المالية العامة والتشريع المالي ، ط 7 ، مطبعة جامعة دمشق ، دمشق ، 1995 – 1996 ، ص55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2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86 .</w:t>
      </w:r>
      <w:r>
        <w:rPr>
          <w:rFonts w:hint="cs"/>
          <w:rtl/>
          <w:lang w:bidi="ar-IQ"/>
        </w:rPr>
        <w:t xml:space="preserve"> </w:t>
      </w:r>
    </w:p>
  </w:footnote>
  <w:footnote w:id="3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80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 </w:t>
      </w:r>
    </w:p>
  </w:footnote>
  <w:footnote w:id="4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( 7 ) من قانون البنك المركزي الاردني لسنة 1971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5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الفقرة ( د ) من المادة ( 11 ) من قانون مصرف البح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رين المركزي لسنة 2006 ، والمادة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( 16 ) من قانون النقد وبنك الكويت المركزي والمهنة المصرفية المعدل لسنة 1968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6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( 3 ) من قانون البنك المركزي والجهاز المصرفي والنقد المصري رقم ( 88 ) لسنة 2003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7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أ ) من المادة ( 9 ) من قانون البنك المركزي الاردني النافذ ، والفقرة ( أ ) من المادة ( 17 ) من قانو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البنك المركزي الكويتي النافذ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والفقرة ( ب ) من المادة ( 12 ) ، وكذلك المادة ( 21 ) من قانون مصرف البحرين المركزي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8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د ) من المادة ( 9 ) من قانون البنك المركزي الاردني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9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الفقرة ( 1 )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( 5 ) من قانون البنك المركزي العراقي النافذ المعدلة بموجب القانون رقم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( 82 ) 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2017 المنشور في الوقائع العراقية عدد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( 4475 ) ، السنة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59 ، 2 / 1 / 2018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0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لم يحدد قانون البنك المركزي العراقي النافذ معنى الربح الصافي خلافا لقوانين البنوك المركزية المقارنة التي ذهبت إلى هذا التحديد مثل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قانون البنك المركزي الكويتي النافذ الذي نص في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( 17 ) منه بأن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...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يعتبر ربحا صافيا الأرباح التي يحققها البنك بعد اقتطاع النفقات وخصم الاحتياطات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للازمة لمواجهة الديون الهالكة أو المشكوك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فيها ... ).</w:t>
      </w:r>
      <w:r>
        <w:rPr>
          <w:rFonts w:hint="cs"/>
          <w:rtl/>
          <w:lang w:bidi="ar-IQ"/>
        </w:rPr>
        <w:t xml:space="preserve"> </w:t>
      </w:r>
    </w:p>
  </w:footnote>
  <w:footnote w:id="11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المادتان ( 8 ) و ( 9 ) من قانون البنك المركزي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2">
    <w:p w:rsidR="00303021" w:rsidRPr="00CB1B6D" w:rsidRDefault="00303021" w:rsidP="00303021">
      <w:pPr>
        <w:pStyle w:val="a3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DC07B7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2</w:t>
      </w:r>
      <w:r w:rsidRPr="00DC07B7">
        <w:rPr>
          <w:rFonts w:ascii="Arial" w:hAnsi="Arial"/>
          <w:rtl/>
          <w:lang w:bidi="ar-IQ"/>
        </w:rPr>
        <w:t xml:space="preserve"> )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يجدر بالذكر هنا أن قانون الإدارة</w:t>
      </w:r>
      <w:r>
        <w:rPr>
          <w:rFonts w:hint="cs"/>
          <w:rtl/>
          <w:lang w:bidi="ar-IQ"/>
        </w:rPr>
        <w:t xml:space="preserve"> المالية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والدين العام العراقي الملغى رقم ( 95 ) لسنة 2004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كان قد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حدد في البند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من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( 7 ) من القسم ( 4) منه موارد الموازنة العامة للدولة وكان من بينها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تحويلات الأرباح الفائضة من البنك المركزي العراقي بموجب النصوص ذات الصلة في قانون البنك المركزي ) . أما قانون الإدارة المالية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تحادية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النافذ لسنة 2019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فقد جاء خلوا من نص مماثل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 وهذا يعني أن نصوص القانون الأخير أكثر انسجاما مع قانون البنك المركزي النافذ من قانون الإدارة المُلغى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  </w:t>
      </w:r>
    </w:p>
  </w:footnote>
  <w:footnote w:id="13">
    <w:p w:rsidR="00303021" w:rsidRDefault="00303021" w:rsidP="00303021">
      <w:pPr>
        <w:pStyle w:val="a3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( 58 ) من قانون المصارف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4">
    <w:p w:rsidR="00303021" w:rsidRDefault="00303021" w:rsidP="00303021">
      <w:pPr>
        <w:pStyle w:val="a3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محمد شاكر عصفور ، أصول الموازنة العامة ، ط 2 ، دار المسيرة للنشر والتوزيع ، عمان ، 2009 ، ص 65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15">
    <w:p w:rsidR="00303021" w:rsidRPr="00E62916" w:rsidRDefault="00303021" w:rsidP="00303021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300CB">
        <w:rPr>
          <w:rFonts w:ascii="Arial" w:hAnsi="Arial"/>
          <w:sz w:val="20"/>
          <w:szCs w:val="20"/>
          <w:rtl/>
          <w:lang w:bidi="ar-IQ"/>
        </w:rPr>
        <w:t xml:space="preserve">( </w:t>
      </w:r>
      <w:r>
        <w:rPr>
          <w:rFonts w:ascii="Arial" w:hAnsi="Arial" w:hint="cs"/>
          <w:sz w:val="20"/>
          <w:szCs w:val="20"/>
          <w:rtl/>
          <w:lang w:bidi="ar-IQ"/>
        </w:rPr>
        <w:t>2</w:t>
      </w:r>
      <w:r w:rsidRPr="008300CB">
        <w:rPr>
          <w:rFonts w:ascii="Arial" w:hAnsi="Arial"/>
          <w:sz w:val="20"/>
          <w:szCs w:val="20"/>
          <w:rtl/>
          <w:lang w:bidi="ar-IQ"/>
        </w:rPr>
        <w:t xml:space="preserve"> )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د . ابراهيم محمد الحمود ، النظام المالي للمؤسسات العامة ذات الميزانيات المستقلة في الكويت ، دراسة تحليلية من واقع ما استقر عليه العمل في الكويت ، الطبعة الأولى ، جامعة الكويت ، الكويت / 1993 ، ص 8 .</w:t>
      </w:r>
      <w:r>
        <w:rPr>
          <w:rFonts w:hint="cs"/>
          <w:rtl/>
          <w:lang w:bidi="ar-IQ"/>
        </w:rPr>
        <w:t xml:space="preserve"> </w:t>
      </w:r>
    </w:p>
  </w:footnote>
  <w:footnote w:id="16">
    <w:p w:rsidR="00303021" w:rsidRPr="007515DB" w:rsidRDefault="00303021" w:rsidP="00303021">
      <w:pPr>
        <w:pStyle w:val="a3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3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 البند ( 2 ) من الفقرة ( خامسا ) من المادة ( 7 ) من قانون المحافظات غير المنتظمة في إقليم رقم ( 21 ) لسنة 2008 بأن : ( يختص مجلس المحافظة بما يلي : المصادقة على مشرو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ع الموازنة العامة للمحافظة ...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ورفعها إلى وزارة المالية في الحكومة الإتحادية لتوحيدها مع الموازنة الفدرالية ) . </w:t>
      </w:r>
    </w:p>
  </w:footnote>
  <w:footnote w:id="17">
    <w:p w:rsidR="00303021" w:rsidRPr="00D13A16" w:rsidRDefault="00303021" w:rsidP="00303021">
      <w:pPr>
        <w:pStyle w:val="a3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4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نصت المادة ( 22 ) من قانون المحافظات غير المنتظمة بإقليم لسنة 2008 بأن : ( لكل وحدة إدارية شخصية معنوية ، واستقلال مالي وإداري ...)</w:t>
      </w:r>
      <w:r>
        <w:rPr>
          <w:rFonts w:hint="cs"/>
          <w:rtl/>
          <w:lang w:bidi="ar-IQ"/>
        </w:rPr>
        <w:t xml:space="preserve"> .</w:t>
      </w:r>
    </w:p>
  </w:footnote>
  <w:footnote w:id="18">
    <w:p w:rsidR="00303021" w:rsidRDefault="00303021" w:rsidP="00303021">
      <w:pPr>
        <w:pStyle w:val="a3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</w:t>
      </w:r>
      <w:r>
        <w:rPr>
          <w:rFonts w:hint="cs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حكم المحكمة الاتحادية العليا ، العدد / 5 / اتحادية / اعلام / 2017 في 28 / 3 / 2017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21"/>
    <w:rsid w:val="00303021"/>
    <w:rsid w:val="005F5011"/>
    <w:rsid w:val="007C5B79"/>
    <w:rsid w:val="008B1A88"/>
    <w:rsid w:val="00B107CB"/>
    <w:rsid w:val="00BE2F6F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A2B0B3-183F-164A-85E9-05B6BA6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03021"/>
    <w:rPr>
      <w:rFonts w:ascii="Calibri" w:eastAsia="Calibri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0302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6522</Characters>
  <Application>Microsoft Office Word</Application>
  <DocSecurity>0</DocSecurity>
  <Lines>54</Lines>
  <Paragraphs>15</Paragraphs>
  <ScaleCrop>false</ScaleCrop>
  <Company>CtrlSoft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drhadeelmohamed@gmail.com</cp:lastModifiedBy>
  <cp:revision>2</cp:revision>
  <dcterms:created xsi:type="dcterms:W3CDTF">2022-02-20T20:30:00Z</dcterms:created>
  <dcterms:modified xsi:type="dcterms:W3CDTF">2022-02-20T20:30:00Z</dcterms:modified>
</cp:coreProperties>
</file>