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ومصالحها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يتضمنه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نصوصا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عقابية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يجرم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عقابا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جنائيا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ويخضع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جزائيا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مطابقا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بالضرورة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تفرغ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تجسد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الواضحة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يتضمنه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ونواهي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الاشكال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الصياغية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تجريم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لمرتكبيه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تتضمنه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والانظمة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المجرمة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فيحاول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لمحددات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يسبغها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وحينما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ينتهي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يلمسها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اساسيين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اولهما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وبشروط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وثانيهما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صياغته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يواجه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فروضا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ويصنع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احكامها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بعينه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بالتجريد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يتصادم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بعموم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ينحصر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والتجريد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تخاطب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لتمتعه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يطبق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بمراكزها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ومقوماتها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ترصين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ديمومه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حمايتها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خدماتها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واستمرار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وعكس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الايجابية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الفلسفي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والمنطقي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صياغتها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استخلاص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المعتبرة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الصياغات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تمسها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صيغت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يناسبها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مبحثين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المترتبة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التجريمي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نتناول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المعتبرة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صياغتها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بالاثار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تنتجه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الصياغات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يتبعها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ينتجه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ووصفها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للمعاقبة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حوزته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ايجاد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للقواعد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والاثار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اعطاء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الناتج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مشددا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مخففا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مغيرا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حقيقتها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صياغتها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نتناول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نتناول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وجوهرية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لاعطاء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بماديات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المرتكبة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بمعنوياتها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مشتركة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ويتوقف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يشترطه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تكوينية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تخلفها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حوزته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فتكيف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اساسيا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المتوافرة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وللاحاطة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نتناول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ونتطرق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نصوصه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ويطلق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توافرها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انتفت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تخلفت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انتفت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وتوافرت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تأثيرها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احاطة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انصرافه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انعكست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المكونة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يتمتع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وبانتقائها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مؤداه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انعدام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تنتفي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ادراج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الاحتياطي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كالسرقة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الاحتيال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وملابساتها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تبرز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يعتبرها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لقيامها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يتمتع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التشريعي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يحملها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امكانية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وعناصرها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يتعذر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عزله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الناحيتين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يجافي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المنطق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مفترضات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بفعله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وبارادته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لحظات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وبارتكابها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تنشط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الرغبة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المقبول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مفترضا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يذهب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وعناصرها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فالشرط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خارجا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يقتصر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يعاصره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بمعاصرته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وتأسيسا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مفترضا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موصفا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مفترضا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مفارقة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نشاطه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وهيبته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مفترضا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تكوينيا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الاسبقية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منطقية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وزمنية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يجعلها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جوانبه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بامكانها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ومعاصرة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المعيار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والمكاني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حركت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ودفعته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اقتراف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ادائها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دافعها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مسببها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النفوذ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نفوذه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المعيار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والمكاني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المعطيات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التساؤل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يتمتع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واخيرا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متمتعا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افشاء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برابطة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يستولي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بموجبها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المثبتة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اللاحقة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بالهيئات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متمتعا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بنصيب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ويتفرع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غائبة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قبولها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ثبوت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ويثور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التساؤل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يكتفي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توافرها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توافرت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التساؤل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تتنازعه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يذهب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ابرزها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اندماج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التجريمي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يجرم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التجريمي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يجرم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الاندماج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التشريعي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المنهى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التجريمي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الاندماج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مخاطب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بمفرده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يخاطب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طائفة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كطائفة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والمكلفين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وينتج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متمتعا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توافرت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ومفاد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للانتقاد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التشريعي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فيستحيل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لمجرد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المستلزمة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بالتبعية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ومؤداه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مجرم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جنائيا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بمقتضى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وتقابلها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113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المختلسة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فاعلا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اصليا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لقواعد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واخيرا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سنتطرق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مميزا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التصنيفات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النافذ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ونشير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كلتا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تكوينيا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يرقى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مذكرين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نماذج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يفوتنا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الاحاطة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لكثرتها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اتساع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لذكرها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بالسلطات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وسلطات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الجيش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وهنالك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بالهيئات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(224-225)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اسباغ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(224)،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نائبه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يتضح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والارادة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المنصرفة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لارتكابها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اختصاصه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لحمايته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يتمتع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اسبغ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لمواجهة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(58)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1937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(99)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اختصاصه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نائب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مضامين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اشارت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واجباتهم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بالاهانة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230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واجباتهم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الاذى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نتحدث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الايذاء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التشديدية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تدعم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مكونة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لشاغليها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231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بواجباتهم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المعاقبة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اغلب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يتمتع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المضمون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بالاشارة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عموميا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مائتي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..).(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العموميين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قاومه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مائتي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الموصوفة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بوقوع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حقيقتها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تتشابه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230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وتضيف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137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اضافيا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عموميا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بالسكك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توقفها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(137)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ليحمله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مقصده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مقصده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سائدة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المحبوسين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233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المعاقبة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الخصوم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ويتضح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اولهما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الخصوم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بالوعد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ثالث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الخصوم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الخصوم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ارادته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منفعة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الخصوم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(234)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ويتضح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المخصوصة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والمتمثلة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تطلبت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بمضمون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وبمخالفة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اصدره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ارادته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اتجاهها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وتستلزم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مدفوعا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لتصرفه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بتأثير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المحبوسين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271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بقولها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بمرافقة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فمكنه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تغافل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تراخى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قاصدا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معاونته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بالاعدام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بجناية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ويتضح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التكليف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المحبوس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مساعدته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وتسهيل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تغافله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هروبه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تراخيه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المذكورين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271،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بتمكين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المحبوس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يتغافل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يتراخى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ارادته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التمكين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التغافل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التراخي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واتجاهها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قاصدا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معاونته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تقابل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بمرافقته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بنقله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وساعده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تغافل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بالاعدام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المحكوم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عمومي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ويهمل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بالاجراءات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معاونته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يجازي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المدونة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المحبوسين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والمقبوض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272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بقولها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مرافقته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باهماله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ويتضح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المحبوس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المحبوس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الاماكن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حراسته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مرافقته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بتوقيفه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المستشفى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0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ينطق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تذبذبا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المؤهلة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لمعالجة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ويدفعنا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لتوحيد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بمرافقته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بنقله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خمسمائة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بجناية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مائتي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يفضل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بالثقة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زعزعة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بالثقة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محررات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موثقة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كالنقود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والمحررات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والاشياء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الاستغناء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استعراض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يطلق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ملاحظته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274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279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تقليد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وتزوير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والعلامات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211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1937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فرضت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تقارير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محاضر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سجلات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دفاتر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الاميرية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امضاءات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مزورة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المحررات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الامضاءات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بزيادة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/213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عاقبت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احوالها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ادراجه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بجعله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مزورة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بتزويرها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يجعله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توازي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286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فاعتبرت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مفترضا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يرقى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بواجبات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92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وتظم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الملحقة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واجباتهم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والواردة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(307)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(341)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92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اتجار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استغلالها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بواجباتها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فائدة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منفعة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اقناعه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اشكال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بواجباته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ويسمى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المرتشي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العطاء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ويسمى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يسعى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92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فبعضها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المرتشي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بالوعد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الايجابية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الميزة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العطية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والمرتشي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احداهما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المرتشي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معاكسا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ويرفضها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المرتشي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المرتشي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اتجاها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بكونه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اجرامه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للوسيط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ورفضها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لارتكابه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الراشي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معاقبته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يسألون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ولتفادي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ومعالجة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لجأت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ويرفضها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ترقى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التكوينية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الاستغناء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الثوابت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الاجنبي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المختلط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الملحقة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315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وذكرت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مثبتة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حيازته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والاشياء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تسليما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المسلمات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كجزاء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املكلف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مأموري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المندوبين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الودائع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الصيارفة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واختلس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واهميتها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تأثيرا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لهيبتها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لديمومة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طبيعي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ومطرد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تمنحه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المباشر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والاهداف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المنوطة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الممنوحة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مطلقة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خروج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ضرورات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تجريمها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ومقدار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اخترقت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اورعت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بالواجبات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/316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استغل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فاستولى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مثبتة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بنصيب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التكوينية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يفوتنا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/318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المعهود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/319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بتجريم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بالواسطة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الاشغال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المقاولات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التعهدات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اعدادها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احالتها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الاشراف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320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بتجريم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سخره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وهميين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التلاعب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باجورهم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يتصور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متصفا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بواجبات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تنظيمها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الملحقة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112، 113، 113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114،(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14/11/1966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بمجرد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مؤتمن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المخصص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لحفظها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اختلاسها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تجاوز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وظائفهم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وظائفهم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يندرج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لجسامة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وخطورة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تجاوزه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تكوينيا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322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والبرقيات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اتلاف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اودعته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للدائرة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بافشاء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تضمنته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افشاء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328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تأشير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صياغتها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مستخدمين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اصبحوا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؟؟؟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المستخدمين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المرقمين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518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1973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911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1976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دوائر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والقطاع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فجعلهم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150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وظائفهم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تنظيمها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333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بتعذيب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بتعذيب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للادلاء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لاعطاء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335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باستغلال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مثبته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حيازته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تتشابه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315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بحيازته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335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4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وظائفهم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340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باحداث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المعهود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التعاقدات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والصفقات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يجريها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تعاقدات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مجحفة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مخالفة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للاجراءات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والشروط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توافرها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كالعطاءات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والمزايدات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الممارسات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تجريها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يترتب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بمصالحها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وظائفهم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ايجازها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المحكوم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323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المحكوم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المحكوم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بمخالفة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324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المعهود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المنشآت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التدابير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الاحترازية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بقبول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باطلاق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سراحه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استبقائه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لتوقيفه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افشاء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تنظيمها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327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بافشاء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بمقتضى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اخباره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وكيله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بافشاء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بمقتضى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كتمانه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نفوذ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329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الصورتين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الاتيتين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46" w:right="0" w:hanging="18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باستغلال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سلطته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تعطيل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والانظمة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تحصيل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ونحوها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المقررة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46" w:right="0" w:hanging="18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انذاره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رسميا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بالتنفيذ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اختصاصه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4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بواجبات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330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بالامتناع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واجباتها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4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اعتمادا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ونظمتها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332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باللجوء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بابدانهم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البواعث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بواعث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4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الاشتغال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بالتجارة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337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والمتضمنة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الاشتغال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بالتجارة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مقتضى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اتجر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املاكه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املاك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اصوله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وفروعه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واخوانه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واخواته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وزوجته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وصايته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4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ونظمته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341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بتسببه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بخطئه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المعهود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ناشئ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اساءة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بواجبات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6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مكلفا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تتهيأ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مستغلا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سلطاته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الممنوحة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وينبغي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بوصفها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لابراز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هيبتها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جوهريا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sectPr>
      <w:footerReference r:id="rId8" w:type="default"/>
      <w:footerReference r:id="rId9" w:type="even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فخري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1972،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لانموذج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يتضمنه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مفترضا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320.</w:t>
      </w:r>
    </w:p>
  </w:footnote>
  <w:footnote w:id="1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التجريم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ومقتضاها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2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اليمني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99.</w:t>
      </w:r>
    </w:p>
  </w:footnote>
  <w:footnote w:id="3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العوجي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1988،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286.</w:t>
      </w:r>
    </w:p>
  </w:footnote>
  <w:footnote w:id="4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نجيب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7.</w:t>
      </w:r>
    </w:p>
  </w:footnote>
  <w:footnote w:id="5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عصام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2005،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24.</w:t>
      </w:r>
    </w:p>
  </w:footnote>
  <w:footnote w:id="6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الداودي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27.</w:t>
      </w:r>
    </w:p>
  </w:footnote>
  <w:footnote w:id="7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1994،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22.</w:t>
      </w:r>
    </w:p>
  </w:footnote>
  <w:footnote w:id="8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شويش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الرافدين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ايلول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1996،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141؛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بتطبيقه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لرقابة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الرقابة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فخري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الاعذار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المخففة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اطروحة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1978،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223.</w:t>
      </w:r>
    </w:p>
  </w:footnote>
  <w:footnote w:id="9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الاطرقجي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اطروحة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2000،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83.</w:t>
      </w:r>
    </w:p>
  </w:footnote>
  <w:footnote w:id="10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1979،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407.</w:t>
      </w:r>
    </w:p>
  </w:footnote>
  <w:footnote w:id="11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نجيب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534،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بماهية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وادراكه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ارادته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يثبت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يفعله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يقدمها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احداث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للقواعد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منصرفا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اتيانه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نشاطه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معاصرة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اللاحق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يعتد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مسائلته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مساهمته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لخطأه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1979،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328؛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ارتكابها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فيسأل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لمجرد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الافتراضي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واحكامها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الاسلامي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1985،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225.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ويذهب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ونحن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نؤيده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يتأثر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مزدوجة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مصدرها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انتقائها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دائما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تبيحه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مشروعه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الحمداني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2015،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215.</w:t>
      </w:r>
    </w:p>
  </w:footnote>
  <w:footnote w:id="12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عنصرا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مفترضا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يرتكبها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ويفرق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مفترضات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ومفترضات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استقر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طائفة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المفترضات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الاجرامية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ويسري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22.</w:t>
      </w:r>
    </w:p>
  </w:footnote>
  <w:footnote w:id="13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تحليلية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1967،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262.</w:t>
      </w:r>
    </w:p>
  </w:footnote>
  <w:footnote w:id="14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267</w:t>
      </w:r>
    </w:p>
  </w:footnote>
  <w:footnote w:id="15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رمسيس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بهنام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منشأة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1997،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483.</w:t>
      </w:r>
    </w:p>
  </w:footnote>
  <w:footnote w:id="16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270-271.</w:t>
      </w:r>
    </w:p>
  </w:footnote>
  <w:footnote w:id="17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الاطروحة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18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217.</w:t>
      </w:r>
    </w:p>
  </w:footnote>
  <w:footnote w:id="19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() Riccio, I delitti contro la Pubblica Amministrazione U.T.E.T., Paris, 1955, P.47.</w:t>
      </w:r>
    </w:p>
  </w:footnote>
  <w:footnote w:id="20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ارتكابها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الاجرائي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كالسرقة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التشريعات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تتأثر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بزوال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يباشرها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اكده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الايطالي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360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استثنائية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التلازم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التفاصيل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هامش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(1).</w:t>
      </w:r>
    </w:p>
  </w:footnote>
  <w:footnote w:id="21"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() Tell andro, LA fattispecie plunisoggettiba N Diritto Tenale, 1956, P. 93.</w:t>
      </w:r>
    </w:p>
  </w:footnote>
  <w:footnote w:id="22"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بوصفه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اصليا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اشتراكا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لتحكمه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اشتراكا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بطريق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لنصوص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يتمتع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74.</w:t>
      </w:r>
    </w:p>
  </w:footnote>
  <w:footnote w:id="23"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ويطبق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تقابلها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والمتضمنة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تقتضي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غلط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مسؤولية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تنتفي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للقواعد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الاعظمي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مصطلحات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الشؤون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2002،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186.</w:t>
      </w:r>
    </w:p>
  </w:footnote>
  <w:footnote w:id="25"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سمعهم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بشيئتهم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(19/3)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الاعظمي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22.</w:t>
      </w:r>
    </w:p>
  </w:footnote>
  <w:footnote w:id="26"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بالوسيلة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المقررة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وجهت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التلغراف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التلفون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27"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سلاحا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مستديمة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تطبيقا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136، 137، 137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137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30/6/1959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ومقاومتهم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بشروط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يعتد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بالباعث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ومقاومتهم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باحدث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2017،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2017،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78.</w:t>
      </w:r>
    </w:p>
  </w:footnote>
  <w:footnote w:id="28"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الاختصاص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النزاهة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81.</w:t>
      </w:r>
    </w:p>
  </w:footnote>
  <w:footnote w:id="29"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1948،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120.</w:t>
      </w:r>
    </w:p>
  </w:footnote>
  <w:footnote w:id="30"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2005،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221؛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المقبوض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المحجوز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الموقوف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المحبوس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معاقبا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برئ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المحاكمة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باطلا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1975،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177.</w:t>
      </w:r>
    </w:p>
  </w:footnote>
  <w:footnote w:id="31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الحيدري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النماذج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الاجرامية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للفساد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2007،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22.</w:t>
      </w:r>
    </w:p>
  </w:footnote>
  <w:footnote w:id="32"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القهوجي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2010،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129.</w:t>
      </w:r>
    </w:p>
  </w:footnote>
  <w:footnote w:id="33"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1953،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64.</w:t>
      </w:r>
    </w:p>
  </w:footnote>
  <w:footnote w:id="34"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التفاصيل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الاختصاص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النزاهة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86.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تزوير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معالجتها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(286-301)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يلفت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290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استغلت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لارتكاب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ذهبت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الرصافة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/290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3186/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2011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20/3/2012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وتتلخص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مسؤول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وعنوانه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خريج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وعنوانه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وظهر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خريج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تثبت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واعترف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اعلاه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وافاد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المصروفة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بذمته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عائدة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اعلاه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وقررت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ادانته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/290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</w:footnote>
  <w:footnote w:id="35"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التطبيقات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بقرارها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2/12/1958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عموميا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بتحريرها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تقتضيه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واللوائح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حاصلا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لاثباته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جوهري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28/2/1984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العمومي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مفروضا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17/11/1969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العمومي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211، 213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بنصيب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يزاوله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اداؤه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اسبغ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ويستوي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لاحداها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المرصفاوي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المرصفاوي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تشريعا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منشأة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707-708.</w:t>
      </w:r>
    </w:p>
  </w:footnote>
  <w:footnote w:id="36"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نجيب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المضرة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القهوجي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20.</w:t>
      </w:r>
    </w:p>
  </w:footnote>
  <w:footnote w:id="37"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الالماني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والفرنسي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والروسي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والمغربي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38"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شويش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1996،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نجيب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17-18.</w:t>
      </w:r>
    </w:p>
  </w:footnote>
  <w:footnote w:id="39"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(313)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بنصها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(109)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رشوة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وبغرامة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(500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(1000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حاصلا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...).</w:t>
      </w:r>
    </w:p>
  </w:footnote>
  <w:footnote w:id="40"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20-21؛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2017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بقضايا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النزاهة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14/8/2017،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الابتدائي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والقضائي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والمحاكمة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الوجاهية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والاطلاع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الحادث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مأمور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المبرزات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بذمته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مسدسات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وبنادق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الانواع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مخازن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المبرزات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وابرز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اطلعت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المبرزات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(170.899.000)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تجريمه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315/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احتساب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موقوفيته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930/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1/2017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18/4/2017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باستغلال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وظيفتها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التلاعب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بمستندات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والصكوك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مدققة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الاسعاف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واختلاس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(48.333.000)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/315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بدلالة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47/ 48/ 49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التطبيقات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بقضايا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النزاهة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281/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 2017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22/5/2017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الهارب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الملحقية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العسكرية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بلغاريا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بالاستيلاء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ومائتين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وعشرين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دولار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امريكي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بذمته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الرقابة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ذميا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الملحقية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كنثرية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المذكور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/316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42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بالذكر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الانتفاع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بشؤون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فيلجأ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الاجرامي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يحتجز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يستحقه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استخدمهم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عذر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ويدعى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استمارات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دفاتر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وهميين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حقيقيين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ويثبت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يدفعها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احتسابها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يقدموا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فخري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99،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الحيدري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161-162.</w:t>
      </w:r>
    </w:p>
  </w:footnote>
  <w:footnote w:id="43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112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اموالا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اوراقا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حيازته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فنصت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119،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شركات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اموالا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اوراقا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حيازته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وظيفته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</w:footnote>
  <w:footnote w:id="44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207 1066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دكتور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المرصفاوي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المرصفاوي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446.</w:t>
      </w:r>
    </w:p>
  </w:footnote>
  <w:footnote w:id="45"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2400/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3/ 2006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14/1/2007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تتلخص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وقائعه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باحتجاز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وايداعهم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التوقيف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قضائية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وافاد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وحدته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المشتكين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وتسليمهم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وايداعهم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التوقيف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سراحهم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تأكد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واقوال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المعقب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واعتراف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ايداعهم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التوقيف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صباح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تشاجرهم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لادانت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فعاقبته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</w:footnote>
  <w:footnote w:id="46"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64.</w:t>
      </w:r>
    </w:p>
  </w:footnote>
  <w:footnote w:id="47"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الفساد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2008،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124-125.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318، 319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الجريمتين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الاخيرتين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ليحصل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منفعة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قضت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الرصافة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بقرارها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2964/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2012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26/11/2012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بتجريم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الوزارات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بالتلاعب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بالكشوفات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البنزين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والعائدة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لوزارته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تلاعبه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بالعدادات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مبلغ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7.474.500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المتحصلة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لادانته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فقررت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معاقبته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</w:footnote>
  <w:footnote w:id="48"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بالرجاء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حاجته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بالتوصية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نفوذ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للتوسط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روضان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مكافحة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الفساد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الصباح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19-20.</w:t>
      </w:r>
    </w:p>
  </w:footnote>
  <w:footnote w:id="49"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2007،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50"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انضباط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والقطاع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حظرت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وثانيا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حظرت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مزاولة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امواله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إرثا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اقاربه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إرثا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دائرته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الوزير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واجبات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يضر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بالمصلحة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وتصفية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الاموال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التخلي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تبليغه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الاستقالة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51"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بالخطأ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الجسيم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الفاحش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منحه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رغبته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فحسب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بالانحراف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جسامة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ينطوي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ابتعاده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يلتزم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معتاد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وعناية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وحذر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كفاءته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قصورا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واجباته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جسيم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التقديرية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والاحوال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بالموظف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وسلوكه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1975،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183-184،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2005،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206-207.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qjoYNHtOF8jJaNjPccGVA+W6Q==">AMUW2mWfISpD7znXyOgVasrJ67AKgkoE+s2jEOi5ZlXZYofWevB5PVwRBQuqsdUhQf/cTt2vM8mYqkYb6SHdxnZUjPKIf0lo3Xpp2nX2wGJcP+9h5z2R/F6gL+6OZAFckUWLfqE6uQ6s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2018-06-08T11:16:00Z</dcterms:created>
  <dc:creator>khalid</dc:creator>
</cp:coreProperties>
</file>