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2A" w:rsidRDefault="00553AB1">
      <w:pPr>
        <w:spacing w:line="362" w:lineRule="auto"/>
        <w:ind w:left="0" w:right="5442" w:firstLine="1"/>
      </w:pPr>
      <w:bookmarkStart w:id="0" w:name="_GoBack"/>
      <w:bookmarkEnd w:id="0"/>
      <w:r>
        <w:rPr>
          <w:b/>
          <w:bCs/>
          <w:szCs w:val="32"/>
          <w:u w:val="single" w:color="000000"/>
          <w:rtl/>
          <w:lang w:bidi="ar-SA"/>
        </w:rPr>
        <w:t>النموذج الجرمي</w:t>
      </w:r>
      <w:r>
        <w:rPr>
          <w:b/>
          <w:bCs/>
          <w:szCs w:val="32"/>
          <w:u w:val="single" w:color="000000"/>
          <w:rtl/>
        </w:rPr>
        <w:t xml:space="preserve">:  </w:t>
      </w:r>
      <w:r>
        <w:rPr>
          <w:b/>
          <w:bCs/>
          <w:szCs w:val="32"/>
          <w:rtl/>
        </w:rPr>
        <w:t xml:space="preserve"> </w:t>
      </w:r>
    </w:p>
    <w:p w:rsidR="00B6042A" w:rsidRDefault="00553AB1">
      <w:pPr>
        <w:spacing w:line="362" w:lineRule="auto"/>
        <w:ind w:left="-2"/>
      </w:pPr>
      <w:r>
        <w:rPr>
          <w:b/>
          <w:bCs/>
          <w:szCs w:val="32"/>
          <w:rtl/>
          <w:lang w:bidi="ar-SA"/>
        </w:rPr>
        <w:t xml:space="preserve">لغة  </w:t>
      </w:r>
      <w:r>
        <w:rPr>
          <w:b/>
          <w:bCs/>
          <w:szCs w:val="32"/>
          <w:rtl/>
        </w:rPr>
        <w:t xml:space="preserve">: </w:t>
      </w:r>
      <w:r>
        <w:rPr>
          <w:szCs w:val="32"/>
          <w:rtl/>
          <w:lang w:bidi="ar-SA"/>
        </w:rPr>
        <w:t xml:space="preserve">نمَوذجَ </w:t>
      </w:r>
      <w:r>
        <w:rPr>
          <w:szCs w:val="32"/>
          <w:rtl/>
        </w:rPr>
        <w:t>]</w:t>
      </w:r>
      <w:r>
        <w:rPr>
          <w:szCs w:val="32"/>
          <w:rtl/>
          <w:lang w:bidi="ar-SA"/>
        </w:rPr>
        <w:t>مفرد</w:t>
      </w:r>
      <w:r>
        <w:rPr>
          <w:szCs w:val="32"/>
          <w:rtl/>
        </w:rPr>
        <w:t xml:space="preserve">:[ </w:t>
      </w:r>
      <w:r>
        <w:rPr>
          <w:szCs w:val="32"/>
          <w:rtl/>
          <w:lang w:bidi="ar-SA"/>
        </w:rPr>
        <w:t>ة نمَُوذَجات ونمَاذِجُ</w:t>
      </w:r>
      <w:r>
        <w:rPr>
          <w:szCs w:val="32"/>
          <w:rtl/>
        </w:rPr>
        <w:t xml:space="preserve">: </w:t>
      </w:r>
      <w:r>
        <w:rPr>
          <w:szCs w:val="32"/>
          <w:rtl/>
          <w:lang w:bidi="ar-SA"/>
        </w:rPr>
        <w:t xml:space="preserve">مَنْ أو ما يُتخّذ مثالاً يُحتذى به  نمَوذجَ </w:t>
      </w:r>
      <w:r>
        <w:rPr>
          <w:szCs w:val="32"/>
          <w:rtl/>
        </w:rPr>
        <w:t>]</w:t>
      </w:r>
      <w:r>
        <w:rPr>
          <w:szCs w:val="32"/>
          <w:rtl/>
          <w:lang w:bidi="ar-SA"/>
        </w:rPr>
        <w:t>مفرد</w:t>
      </w:r>
      <w:r>
        <w:rPr>
          <w:szCs w:val="32"/>
          <w:rtl/>
        </w:rPr>
        <w:t xml:space="preserve">[: </w:t>
      </w:r>
      <w:r>
        <w:rPr>
          <w:szCs w:val="32"/>
          <w:rtl/>
          <w:lang w:bidi="ar-SA"/>
        </w:rPr>
        <w:t xml:space="preserve">ج نمَُوذَجات ونمَاذِجُ </w:t>
      </w:r>
      <w:r>
        <w:rPr>
          <w:szCs w:val="32"/>
          <w:rtl/>
        </w:rPr>
        <w:t xml:space="preserve">: </w:t>
      </w:r>
    </w:p>
    <w:p w:rsidR="00B6042A" w:rsidRDefault="00553AB1">
      <w:pPr>
        <w:numPr>
          <w:ilvl w:val="0"/>
          <w:numId w:val="1"/>
        </w:numPr>
        <w:spacing w:after="161" w:line="259" w:lineRule="auto"/>
        <w:ind w:right="0" w:hanging="202"/>
        <w:jc w:val="left"/>
      </w:pPr>
      <w:r>
        <w:rPr>
          <w:szCs w:val="32"/>
          <w:rtl/>
          <w:lang w:bidi="ar-SA"/>
        </w:rPr>
        <w:t xml:space="preserve">أنموذج، مثال يُقتدى به، أو مثال يعُمل عليه الشّيء  </w:t>
      </w:r>
    </w:p>
    <w:p w:rsidR="00B6042A" w:rsidRDefault="00553AB1">
      <w:pPr>
        <w:numPr>
          <w:ilvl w:val="0"/>
          <w:numId w:val="1"/>
        </w:numPr>
        <w:spacing w:after="166"/>
        <w:ind w:right="0" w:hanging="202"/>
        <w:jc w:val="left"/>
      </w:pPr>
      <w:r>
        <w:rPr>
          <w:szCs w:val="32"/>
          <w:rtl/>
          <w:lang w:bidi="ar-SA"/>
        </w:rPr>
        <w:t xml:space="preserve">نموذج مصغرَّ </w:t>
      </w:r>
      <w:r>
        <w:rPr>
          <w:szCs w:val="32"/>
          <w:rtl/>
        </w:rPr>
        <w:t xml:space="preserve">: </w:t>
      </w:r>
      <w:r>
        <w:rPr>
          <w:szCs w:val="32"/>
          <w:rtl/>
          <w:lang w:bidi="ar-SA"/>
        </w:rPr>
        <w:t>نموذج من شيء في حجم متناهي الصِّغر، شيء صغير من نوعه</w:t>
      </w:r>
      <w:r>
        <w:rPr>
          <w:szCs w:val="32"/>
          <w:rtl/>
        </w:rPr>
        <w:t xml:space="preserve">. </w:t>
      </w:r>
      <w:r>
        <w:rPr>
          <w:szCs w:val="32"/>
          <w:rtl/>
          <w:lang w:bidi="ar-SA"/>
        </w:rPr>
        <w:t xml:space="preserve">، نموذج مقولب </w:t>
      </w:r>
      <w:r>
        <w:rPr>
          <w:szCs w:val="32"/>
          <w:rtl/>
        </w:rPr>
        <w:t xml:space="preserve">: </w:t>
      </w:r>
      <w:r>
        <w:rPr>
          <w:szCs w:val="32"/>
          <w:rtl/>
          <w:lang w:bidi="ar-SA"/>
        </w:rPr>
        <w:t xml:space="preserve">ما يعُْتبر تمثيلاً أو تطبيقًا لصورةٍ أو نوعٍ تقليديّ </w:t>
      </w:r>
      <w:r>
        <w:rPr>
          <w:szCs w:val="32"/>
          <w:rtl/>
        </w:rPr>
        <w:t>.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szCs w:val="32"/>
          <w:rtl/>
        </w:rPr>
        <w:t xml:space="preserve">  </w:t>
      </w:r>
    </w:p>
    <w:p w:rsidR="00B6042A" w:rsidRDefault="00553AB1">
      <w:pPr>
        <w:spacing w:after="177"/>
        <w:ind w:left="-2" w:right="351"/>
      </w:pPr>
      <w:r>
        <w:rPr>
          <w:b/>
          <w:bCs/>
          <w:szCs w:val="32"/>
          <w:rtl/>
          <w:lang w:bidi="ar-SA"/>
        </w:rPr>
        <w:t xml:space="preserve">اصطلاح ا </w:t>
      </w:r>
      <w:r>
        <w:rPr>
          <w:szCs w:val="32"/>
          <w:rtl/>
        </w:rPr>
        <w:t xml:space="preserve"> :</w:t>
      </w:r>
      <w:r>
        <w:rPr>
          <w:rFonts w:ascii="Calibri" w:eastAsia="Calibri" w:hAnsi="Calibri" w:cs="Calibri"/>
          <w:szCs w:val="32"/>
          <w:rtl/>
        </w:rPr>
        <w:t xml:space="preserve"> </w:t>
      </w:r>
      <w:r>
        <w:rPr>
          <w:szCs w:val="32"/>
          <w:rtl/>
          <w:lang w:bidi="ar-SA"/>
        </w:rPr>
        <w:t xml:space="preserve">نعني فكرة </w:t>
      </w:r>
      <w:r>
        <w:rPr>
          <w:szCs w:val="32"/>
          <w:rtl/>
        </w:rPr>
        <w:t>)</w:t>
      </w:r>
      <w:r>
        <w:rPr>
          <w:szCs w:val="32"/>
          <w:rtl/>
          <w:lang w:bidi="ar-SA"/>
        </w:rPr>
        <w:t>النموذج القانوني للجريمة</w:t>
      </w:r>
      <w:r>
        <w:rPr>
          <w:szCs w:val="32"/>
          <w:rtl/>
        </w:rPr>
        <w:t xml:space="preserve">( </w:t>
      </w:r>
      <w:r>
        <w:rPr>
          <w:szCs w:val="32"/>
          <w:rtl/>
          <w:lang w:bidi="ar-SA"/>
        </w:rPr>
        <w:t>، شمول النص العقابي على وصف دقيق مختلف العناصر التكوينية لها ، وهي الشكل أو التنظيم أو الاطار  القانوني الدي حدده المشرع لكل جريمة</w:t>
      </w:r>
      <w:r>
        <w:rPr>
          <w:rFonts w:ascii="Calibri" w:eastAsia="Calibri" w:hAnsi="Calibri" w:cs="Calibri"/>
          <w:vertAlign w:val="superscript"/>
        </w:rPr>
        <w:footnoteReference w:id="2"/>
      </w:r>
      <w:r>
        <w:rPr>
          <w:rFonts w:ascii="Calibri" w:eastAsia="Calibri" w:hAnsi="Calibri" w:cs="Calibri"/>
          <w:szCs w:val="32"/>
          <w:rtl/>
        </w:rPr>
        <w:t xml:space="preserve"> . </w:t>
      </w:r>
    </w:p>
    <w:p w:rsidR="00B6042A" w:rsidRDefault="00553AB1">
      <w:pPr>
        <w:bidi w:val="0"/>
        <w:spacing w:after="158" w:line="259" w:lineRule="auto"/>
        <w:ind w:left="0" w:right="87" w:firstLine="0"/>
      </w:pPr>
      <w:r>
        <w:t xml:space="preserve"> </w:t>
      </w:r>
    </w:p>
    <w:p w:rsidR="00B6042A" w:rsidRDefault="00553AB1">
      <w:pPr>
        <w:spacing w:after="163" w:line="259" w:lineRule="auto"/>
        <w:ind w:left="3" w:right="0" w:firstLine="0"/>
        <w:jc w:val="left"/>
      </w:pPr>
      <w:r>
        <w:rPr>
          <w:b/>
          <w:bCs/>
          <w:szCs w:val="32"/>
          <w:u w:val="single" w:color="000000"/>
          <w:rtl/>
          <w:lang w:bidi="ar-SA"/>
        </w:rPr>
        <w:t>البنيان القانوني</w:t>
      </w:r>
      <w:r>
        <w:rPr>
          <w:szCs w:val="32"/>
          <w:rtl/>
        </w:rPr>
        <w:t xml:space="preserve"> : </w:t>
      </w:r>
    </w:p>
    <w:p w:rsidR="00B6042A" w:rsidRDefault="00553AB1">
      <w:pPr>
        <w:spacing w:after="161" w:line="259" w:lineRule="auto"/>
        <w:ind w:left="-2" w:right="0" w:hanging="10"/>
        <w:jc w:val="left"/>
      </w:pPr>
      <w:r>
        <w:rPr>
          <w:b/>
          <w:bCs/>
          <w:szCs w:val="32"/>
          <w:rtl/>
          <w:lang w:bidi="ar-SA"/>
        </w:rPr>
        <w:t>لغة</w:t>
      </w:r>
      <w:r>
        <w:rPr>
          <w:b/>
          <w:bCs/>
          <w:szCs w:val="32"/>
          <w:rtl/>
        </w:rPr>
        <w:t xml:space="preserve">: </w:t>
      </w:r>
      <w:r>
        <w:rPr>
          <w:szCs w:val="32"/>
          <w:rtl/>
          <w:lang w:bidi="ar-SA"/>
        </w:rPr>
        <w:t xml:space="preserve"> مصدر بنََى</w:t>
      </w:r>
      <w:r>
        <w:rPr>
          <w:szCs w:val="32"/>
          <w:rtl/>
        </w:rPr>
        <w:t xml:space="preserve">/ </w:t>
      </w:r>
      <w:r>
        <w:rPr>
          <w:szCs w:val="32"/>
          <w:rtl/>
          <w:lang w:bidi="ar-SA"/>
        </w:rPr>
        <w:t>بنََى بـ</w:t>
      </w:r>
      <w:r>
        <w:rPr>
          <w:szCs w:val="32"/>
          <w:rtl/>
        </w:rPr>
        <w:t xml:space="preserve">/ </w:t>
      </w:r>
      <w:r>
        <w:rPr>
          <w:szCs w:val="32"/>
          <w:rtl/>
          <w:lang w:bidi="ar-SA"/>
        </w:rPr>
        <w:t xml:space="preserve">بنََى  </w:t>
      </w:r>
    </w:p>
    <w:p w:rsidR="00B6042A" w:rsidRDefault="00553AB1">
      <w:pPr>
        <w:numPr>
          <w:ilvl w:val="0"/>
          <w:numId w:val="1"/>
        </w:numPr>
        <w:spacing w:after="225" w:line="259" w:lineRule="auto"/>
        <w:ind w:right="0" w:hanging="202"/>
        <w:jc w:val="left"/>
      </w:pPr>
      <w:r>
        <w:rPr>
          <w:szCs w:val="32"/>
          <w:rtl/>
          <w:lang w:bidi="ar-SA"/>
        </w:rPr>
        <w:t xml:space="preserve">ما بُنيَ، شيء مبنيّ </w:t>
      </w:r>
      <w:r>
        <w:rPr>
          <w:szCs w:val="32"/>
          <w:rtl/>
        </w:rPr>
        <w:t>"</w:t>
      </w:r>
      <w:r>
        <w:rPr>
          <w:szCs w:val="32"/>
          <w:rtl/>
          <w:lang w:bidi="ar-SA"/>
        </w:rPr>
        <w:t xml:space="preserve">الْمُؤْمِنُ لِلْمُؤْمِنِ كَالْبُنْياَنِ يَشُدُّ بعَْضُهُ بعَْضًا </w:t>
      </w:r>
      <w:r>
        <w:rPr>
          <w:szCs w:val="32"/>
          <w:rtl/>
        </w:rPr>
        <w:t>]</w:t>
      </w:r>
      <w:r>
        <w:rPr>
          <w:szCs w:val="32"/>
          <w:rtl/>
          <w:lang w:bidi="ar-SA"/>
        </w:rPr>
        <w:t>حديث</w:t>
      </w:r>
      <w:r>
        <w:rPr>
          <w:szCs w:val="32"/>
          <w:rtl/>
        </w:rPr>
        <w:t xml:space="preserve">[ - </w:t>
      </w:r>
    </w:p>
    <w:p w:rsidR="00B6042A" w:rsidRDefault="00553AB1">
      <w:pPr>
        <w:numPr>
          <w:ilvl w:val="0"/>
          <w:numId w:val="1"/>
        </w:numPr>
        <w:spacing w:after="161" w:line="259" w:lineRule="auto"/>
        <w:ind w:right="0" w:hanging="202"/>
        <w:jc w:val="left"/>
      </w:pPr>
      <w:r>
        <w:rPr>
          <w:szCs w:val="32"/>
          <w:rtl/>
          <w:lang w:bidi="ar-SA"/>
        </w:rPr>
        <w:t xml:space="preserve">جدار، حائط </w:t>
      </w:r>
      <w:r>
        <w:rPr>
          <w:szCs w:val="32"/>
          <w:rtl/>
        </w:rPr>
        <w:t>" }</w:t>
      </w:r>
      <w:r>
        <w:rPr>
          <w:szCs w:val="32"/>
          <w:rtl/>
          <w:lang w:bidi="ar-SA"/>
        </w:rPr>
        <w:t>فَقَالُوا ابْنوُا عَلَيْهِمْ بُنْيَاناً</w:t>
      </w:r>
      <w:r>
        <w:rPr>
          <w:szCs w:val="32"/>
          <w:rtl/>
        </w:rPr>
        <w:t xml:space="preserve">{ ". </w:t>
      </w:r>
      <w:r>
        <w:rPr>
          <w:vertAlign w:val="superscript"/>
        </w:rPr>
        <w:footnoteReference w:id="3"/>
      </w:r>
      <w:r>
        <w:rPr>
          <w:szCs w:val="32"/>
          <w:rtl/>
        </w:rPr>
        <w:t xml:space="preserve"> </w:t>
      </w:r>
    </w:p>
    <w:p w:rsidR="00B6042A" w:rsidRDefault="00553AB1">
      <w:pPr>
        <w:spacing w:after="216"/>
        <w:ind w:left="-2" w:right="0"/>
      </w:pPr>
      <w:r>
        <w:rPr>
          <w:b/>
          <w:bCs/>
          <w:szCs w:val="32"/>
          <w:rtl/>
          <w:lang w:bidi="ar-SA"/>
        </w:rPr>
        <w:t>اصطلاحا</w:t>
      </w:r>
      <w:r>
        <w:rPr>
          <w:b/>
          <w:bCs/>
          <w:szCs w:val="32"/>
          <w:rtl/>
        </w:rPr>
        <w:t xml:space="preserve">:  </w:t>
      </w:r>
      <w:r>
        <w:rPr>
          <w:szCs w:val="32"/>
          <w:rtl/>
          <w:lang w:bidi="ar-SA"/>
        </w:rPr>
        <w:t>هو نظرة شمولية لحالة النص العقابي فهي تشمل النص كما هو كائن</w:t>
      </w:r>
      <w:r>
        <w:rPr>
          <w:szCs w:val="32"/>
          <w:rtl/>
        </w:rPr>
        <w:t xml:space="preserve">)  </w:t>
      </w:r>
      <w:r>
        <w:rPr>
          <w:szCs w:val="32"/>
          <w:rtl/>
          <w:lang w:bidi="ar-SA"/>
        </w:rPr>
        <w:t>النظام القانوني الموجود فعلاً</w:t>
      </w:r>
      <w:r>
        <w:rPr>
          <w:szCs w:val="32"/>
          <w:rtl/>
        </w:rPr>
        <w:t xml:space="preserve">( </w:t>
      </w:r>
      <w:r>
        <w:rPr>
          <w:szCs w:val="32"/>
          <w:rtl/>
          <w:lang w:bidi="ar-SA"/>
        </w:rPr>
        <w:t xml:space="preserve">وكما يجب ان يكون </w:t>
      </w:r>
      <w:r>
        <w:rPr>
          <w:rFonts w:ascii="Calibri" w:eastAsia="Calibri" w:hAnsi="Calibri" w:cs="Calibri"/>
          <w:szCs w:val="32"/>
          <w:rtl/>
        </w:rPr>
        <w:t xml:space="preserve">  ( </w:t>
      </w:r>
      <w:r>
        <w:rPr>
          <w:szCs w:val="32"/>
          <w:rtl/>
          <w:lang w:bidi="ar-SA"/>
        </w:rPr>
        <w:t>النظريات التي تنظم النص العقابي وضرورة تبني الأصوب من بينها</w:t>
      </w:r>
      <w:r>
        <w:rPr>
          <w:szCs w:val="32"/>
          <w:rtl/>
        </w:rPr>
        <w:t xml:space="preserve">( </w:t>
      </w:r>
    </w:p>
    <w:p w:rsidR="00B6042A" w:rsidRDefault="00553AB1">
      <w:pPr>
        <w:spacing w:after="161" w:line="259" w:lineRule="auto"/>
        <w:ind w:left="-2" w:right="0" w:hanging="10"/>
        <w:jc w:val="left"/>
      </w:pPr>
      <w:r>
        <w:rPr>
          <w:szCs w:val="32"/>
          <w:rtl/>
          <w:lang w:bidi="ar-SA"/>
        </w:rPr>
        <w:t>اي هو حالة مستمرة غير منتهية  لعملية تكوين النص العقابي</w:t>
      </w:r>
      <w:r>
        <w:rPr>
          <w:szCs w:val="32"/>
          <w:rtl/>
        </w:rPr>
        <w:t xml:space="preserve">. </w:t>
      </w:r>
      <w:r>
        <w:rPr>
          <w:vertAlign w:val="superscript"/>
        </w:rPr>
        <w:footnoteReference w:id="4"/>
      </w:r>
      <w:r>
        <w:rPr>
          <w:szCs w:val="32"/>
          <w:rtl/>
        </w:rPr>
        <w:t xml:space="preserve"> </w:t>
      </w:r>
    </w:p>
    <w:p w:rsidR="00B6042A" w:rsidRDefault="00553AB1">
      <w:pPr>
        <w:spacing w:after="1362"/>
        <w:ind w:left="-2" w:right="351"/>
      </w:pPr>
      <w:r>
        <w:rPr>
          <w:szCs w:val="32"/>
          <w:rtl/>
          <w:lang w:bidi="ar-SA"/>
        </w:rPr>
        <w:t>من حيث اللغة يختلفان كل من النموذج الجرمي والبنيان القانوني لكن من حيث المفهوم الاصطلاحي نلاحظ ان النموذج الجرمي يماثل البنيان القانون ي في حال اخذنا بالاتجاه الواسع الذي يمد النموذج لكل من ماديات الجريمة ومعنوياتها</w:t>
      </w:r>
      <w:r>
        <w:rPr>
          <w:szCs w:val="32"/>
          <w:rtl/>
        </w:rPr>
        <w:t xml:space="preserve">. 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B6042A" w:rsidRDefault="00553AB1">
      <w:pPr>
        <w:bidi w:val="0"/>
        <w:spacing w:after="0" w:line="259" w:lineRule="auto"/>
        <w:ind w:left="5127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1829816" cy="9525"/>
                <wp:effectExtent l="0" t="0" r="0" b="0"/>
                <wp:docPr id="6126" name="Group 6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816" cy="9525"/>
                          <a:chOff x="0" y="0"/>
                          <a:chExt cx="1829816" cy="9525"/>
                        </a:xfrm>
                      </wpg:grpSpPr>
                      <wps:wsp>
                        <wps:cNvPr id="16010" name="Shape 16010"/>
                        <wps:cNvSpPr/>
                        <wps:spPr>
                          <a:xfrm>
                            <a:off x="0" y="0"/>
                            <a:ext cx="182981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816" h="9525">
                                <a:moveTo>
                                  <a:pt x="0" y="0"/>
                                </a:moveTo>
                                <a:lnTo>
                                  <a:pt x="1829816" y="0"/>
                                </a:lnTo>
                                <a:lnTo>
                                  <a:pt x="182981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126" style="width:144.08pt;height:0.75pt;mso-position-horizontal-relative:char;mso-position-vertical-relative:line" coordsize="18298,95">
                <v:shape id="Shape 16011" style="position:absolute;width:18298;height:95;left:0;top:0;" coordsize="1829816,9525" path="m0,0l1829816,0l1829816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B6042A">
      <w:footnotePr>
        <w:numRestart w:val="eachPage"/>
      </w:footnotePr>
      <w:pgSz w:w="11905" w:h="16840"/>
      <w:pgMar w:top="1440" w:right="1790" w:bottom="1440" w:left="1965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8B" w:rsidRDefault="00BD7C8B">
      <w:pPr>
        <w:spacing w:after="0" w:line="240" w:lineRule="auto"/>
      </w:pPr>
      <w:r>
        <w:separator/>
      </w:r>
    </w:p>
  </w:endnote>
  <w:endnote w:type="continuationSeparator" w:id="0">
    <w:p w:rsidR="00BD7C8B" w:rsidRDefault="00BD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8B" w:rsidRDefault="00BD7C8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BD7C8B" w:rsidRDefault="00BD7C8B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B6042A" w:rsidRDefault="00553AB1">
      <w:pPr>
        <w:pStyle w:val="footnotedescription"/>
        <w:bidi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Cs w:val="20"/>
          <w:rtl/>
        </w:rPr>
        <w:t xml:space="preserve">احمد مختار عمر، معجم اللغة العربية المعاصرة، المجلد الاول ، ط١ ،مكتبة عالم الكتب، ٢٠٠٨،ص٢٢٨٩ </w:t>
      </w:r>
    </w:p>
  </w:footnote>
  <w:footnote w:id="2">
    <w:p w:rsidR="00B6042A" w:rsidRDefault="00553AB1">
      <w:pPr>
        <w:pStyle w:val="footnotedescription"/>
        <w:bidi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Cs w:val="20"/>
          <w:rtl/>
        </w:rPr>
        <w:t xml:space="preserve">د. آمال عبد الرحيم عثمان، النموذج القانوني للجريمة، مجلة العلوم القانونية والاقتصادية، العدد ١، ١٩٧٢، ص ٣٢ و ٣٤.  </w:t>
      </w:r>
    </w:p>
  </w:footnote>
  <w:footnote w:id="3">
    <w:p w:rsidR="00B6042A" w:rsidRDefault="00553AB1">
      <w:pPr>
        <w:pStyle w:val="footnotedescription"/>
        <w:bidi/>
        <w:spacing w:after="29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Cs w:val="20"/>
          <w:rtl/>
        </w:rPr>
        <w:t>معجم  اللغة العربية</w:t>
      </w:r>
      <w:r>
        <w:rPr>
          <w:rFonts w:ascii="Calibri" w:eastAsia="Calibri" w:hAnsi="Calibri" w:cs="Calibri"/>
          <w:szCs w:val="20"/>
          <w:rtl/>
        </w:rPr>
        <w:t xml:space="preserve">  ، </w:t>
      </w:r>
      <w:r>
        <w:rPr>
          <w:szCs w:val="20"/>
          <w:rtl/>
        </w:rPr>
        <w:t xml:space="preserve">المصدر السابق، ص ٢٥٠. </w:t>
      </w:r>
      <w:r>
        <w:rPr>
          <w:rFonts w:ascii="Calibri" w:eastAsia="Calibri" w:hAnsi="Calibri" w:cs="Calibri"/>
          <w:szCs w:val="20"/>
          <w:rtl/>
        </w:rPr>
        <w:t xml:space="preserve"> </w:t>
      </w:r>
    </w:p>
  </w:footnote>
  <w:footnote w:id="4">
    <w:p w:rsidR="00B6042A" w:rsidRDefault="00553AB1">
      <w:pPr>
        <w:pStyle w:val="footnotedescription"/>
        <w:bidi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22"/>
          <w:rtl/>
        </w:rPr>
        <w:t>باسم عبد الزمان مجيد الربيعي، نظرية البنيان القانوني  للنص العقابي، أطروحة دكتوراة في القانون الجن</w:t>
      </w:r>
      <w:r>
        <w:rPr>
          <w:rFonts w:ascii="Calibri" w:eastAsia="Calibri" w:hAnsi="Calibri" w:cs="Calibri"/>
          <w:sz w:val="22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2E4"/>
    <w:multiLevelType w:val="hybridMultilevel"/>
    <w:tmpl w:val="FFFFFFFF"/>
    <w:lvl w:ilvl="0" w:tplc="1EA4C50A">
      <w:start w:val="1"/>
      <w:numFmt w:val="bullet"/>
      <w:lvlText w:val="•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138BF94">
      <w:start w:val="1"/>
      <w:numFmt w:val="bullet"/>
      <w:lvlText w:val="o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1F61FA8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C3E98A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1C570C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0A8B5E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01AA032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92853BA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4308CCE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2A"/>
    <w:rsid w:val="00371859"/>
    <w:rsid w:val="00553AB1"/>
    <w:rsid w:val="00B07BBF"/>
    <w:rsid w:val="00B6042A"/>
    <w:rsid w:val="00B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5" w:line="261" w:lineRule="auto"/>
      <w:ind w:left="7" w:right="871" w:hanging="7"/>
      <w:jc w:val="right"/>
    </w:pPr>
    <w:rPr>
      <w:rFonts w:ascii="Arial" w:eastAsia="Arial" w:hAnsi="Arial" w:cs="Arial"/>
      <w:color w:val="000000"/>
      <w:sz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line="259" w:lineRule="auto"/>
      <w:jc w:val="right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5" w:line="261" w:lineRule="auto"/>
      <w:ind w:left="7" w:right="871" w:hanging="7"/>
      <w:jc w:val="right"/>
    </w:pPr>
    <w:rPr>
      <w:rFonts w:ascii="Arial" w:eastAsia="Arial" w:hAnsi="Arial" w:cs="Arial"/>
      <w:color w:val="000000"/>
      <w:sz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line="259" w:lineRule="auto"/>
      <w:jc w:val="right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cp:lastModifiedBy>safaa</cp:lastModifiedBy>
  <cp:revision>4</cp:revision>
  <dcterms:created xsi:type="dcterms:W3CDTF">2022-02-21T14:43:00Z</dcterms:created>
  <dcterms:modified xsi:type="dcterms:W3CDTF">2022-02-22T05:41:00Z</dcterms:modified>
</cp:coreProperties>
</file>