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4D7B92" w:rsidRPr="00892C3F" w:rsidRDefault="004D7B92" w:rsidP="00892C3F">
      <w:pPr>
        <w:spacing w:before="100" w:beforeAutospacing="1" w:after="100" w:afterAutospacing="1" w:line="240" w:lineRule="auto"/>
        <w:jc w:val="center"/>
        <w:outlineLvl w:val="2"/>
        <w:rPr>
          <w:rFonts w:ascii="Times New Roman" w:eastAsia="Times New Roman" w:hAnsi="Times New Roman" w:cs="Times New Roman"/>
          <w:b/>
          <w:bCs/>
          <w:sz w:val="36"/>
          <w:szCs w:val="36"/>
          <w:lang w:bidi="ar"/>
        </w:rPr>
      </w:pPr>
      <w:r w:rsidRPr="00892C3F">
        <w:rPr>
          <w:rFonts w:ascii="Times New Roman" w:eastAsia="Times New Roman" w:hAnsi="Times New Roman" w:cs="Times New Roman"/>
          <w:b/>
          <w:bCs/>
          <w:sz w:val="36"/>
          <w:szCs w:val="36"/>
          <w:rtl/>
          <w:lang w:bidi="ar"/>
        </w:rPr>
        <w:t>الم</w:t>
      </w:r>
      <w:r w:rsidR="00892C3F">
        <w:rPr>
          <w:rFonts w:ascii="Times New Roman" w:eastAsia="Times New Roman" w:hAnsi="Times New Roman" w:cs="Times New Roman" w:hint="cs"/>
          <w:b/>
          <w:bCs/>
          <w:sz w:val="36"/>
          <w:szCs w:val="36"/>
          <w:rtl/>
          <w:lang w:bidi="ar"/>
        </w:rPr>
        <w:t>حاضرة الثامنة</w:t>
      </w:r>
      <w:r w:rsidRPr="00892C3F">
        <w:rPr>
          <w:rFonts w:ascii="Times New Roman" w:eastAsia="Times New Roman" w:hAnsi="Times New Roman" w:cs="Times New Roman"/>
          <w:b/>
          <w:bCs/>
          <w:sz w:val="36"/>
          <w:szCs w:val="36"/>
          <w:rtl/>
          <w:lang w:bidi="ar"/>
        </w:rPr>
        <w:t>: الإطار التشريعي والمؤسساتي لتأهيل السجناء</w:t>
      </w:r>
    </w:p>
    <w:p w:rsidR="004D7B92" w:rsidRDefault="004D7B92" w:rsidP="004D7B92">
      <w:pPr>
        <w:spacing w:after="0" w:line="240" w:lineRule="auto"/>
        <w:jc w:val="center"/>
        <w:rPr>
          <w:rFonts w:ascii="Times New Roman" w:eastAsia="Times New Roman" w:hAnsi="Times New Roman" w:cs="Times New Roman"/>
          <w:sz w:val="24"/>
          <w:szCs w:val="24"/>
          <w:rtl/>
          <w:lang w:bidi="ar"/>
        </w:rPr>
      </w:pPr>
    </w:p>
    <w:p w:rsidR="004D7B92" w:rsidRDefault="004D7B92" w:rsidP="00892C3F">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يعتبر السجن فضاء مغلقا على نفسه مستقلا بذاته ولا تربطه بالمجتمع أية روابط ، بحيث تتكلف فيه الإدارة العقابية  بحياة السجناء وسلطتها في ذلك مطلقة أو تحكمية، واهتمامها ينصب على حفظ الأمن والنظام داخل السجون ولو على حساب المحكوم عليه، هذا ما ينسجم مع وظيفة العقوبة التقليدية، بحيث كان الهدف منها الانتقام  والإيلام، لكن هذه الوضعية الرهيبة تتعارض مع ما تفرضه كرامة الإنسان من احترام</w:t>
      </w:r>
      <w:r w:rsidR="00892C3F">
        <w:rPr>
          <w:rFonts w:ascii="Times New Roman" w:eastAsia="Times New Roman" w:hAnsi="Times New Roman" w:cs="Times New Roman" w:hint="cs"/>
          <w:sz w:val="36"/>
          <w:szCs w:val="36"/>
          <w:rtl/>
          <w:lang w:bidi="ar"/>
        </w:rPr>
        <w:t xml:space="preserve"> </w:t>
      </w:r>
      <w:r>
        <w:rPr>
          <w:rFonts w:ascii="Times New Roman" w:eastAsia="Times New Roman" w:hAnsi="Times New Roman" w:cs="Times New Roman"/>
          <w:sz w:val="36"/>
          <w:szCs w:val="36"/>
          <w:rtl/>
          <w:lang w:bidi="ar"/>
        </w:rPr>
        <w:t xml:space="preserve">هذه الفلسفة لم تصمد كثيرا أمام المطالبات التي تنادي في تحسين وضعية السجين، و </w:t>
      </w:r>
      <w:proofErr w:type="spellStart"/>
      <w:r>
        <w:rPr>
          <w:rFonts w:ascii="Times New Roman" w:eastAsia="Times New Roman" w:hAnsi="Times New Roman" w:cs="Times New Roman"/>
          <w:sz w:val="36"/>
          <w:szCs w:val="36"/>
          <w:rtl/>
          <w:lang w:bidi="ar"/>
        </w:rPr>
        <w:t>أنسنة</w:t>
      </w:r>
      <w:proofErr w:type="spellEnd"/>
      <w:r>
        <w:rPr>
          <w:rFonts w:ascii="Times New Roman" w:eastAsia="Times New Roman" w:hAnsi="Times New Roman" w:cs="Times New Roman"/>
          <w:sz w:val="36"/>
          <w:szCs w:val="36"/>
          <w:rtl/>
          <w:lang w:bidi="ar"/>
        </w:rPr>
        <w:t xml:space="preserve"> العقوبة وعلى إثر هذه الطالبات وتطور الفكر العقابي، عرفت العقوبة من حيث أهدافها ووظيفتها تحولا جوهريا بحيث أضحى الهدف منها التأهيل والإصلاح في السجون للمحكوم عليهم من اجل إعادة إدماج في المجتمع، هذا التحول سرعان ما تأثرت به التشريعات سواء على مستوى ا</w:t>
      </w:r>
      <w:r w:rsidR="00892C3F">
        <w:rPr>
          <w:rFonts w:ascii="Times New Roman" w:eastAsia="Times New Roman" w:hAnsi="Times New Roman" w:cs="Times New Roman"/>
          <w:sz w:val="36"/>
          <w:szCs w:val="36"/>
          <w:rtl/>
          <w:lang w:bidi="ar"/>
        </w:rPr>
        <w:t>لتشريع الدولي أو التشريع الوطني</w:t>
      </w:r>
      <w:r w:rsidR="00892C3F">
        <w:rPr>
          <w:rFonts w:ascii="Times New Roman" w:eastAsia="Times New Roman" w:hAnsi="Times New Roman" w:cs="Times New Roman" w:hint="cs"/>
          <w:sz w:val="36"/>
          <w:szCs w:val="36"/>
          <w:rtl/>
          <w:lang w:bidi="ar"/>
        </w:rPr>
        <w:t xml:space="preserve"> </w:t>
      </w:r>
      <w:r>
        <w:rPr>
          <w:rFonts w:ascii="Times New Roman" w:eastAsia="Times New Roman" w:hAnsi="Times New Roman" w:cs="Times New Roman"/>
          <w:sz w:val="36"/>
          <w:szCs w:val="36"/>
          <w:rtl/>
          <w:lang w:bidi="ar"/>
        </w:rPr>
        <w:t>وتدخلت لتنظيمه وتضمينه في منظومتها القانونية،  فما هي مقتضيات  تأهي</w:t>
      </w:r>
      <w:r w:rsidR="00892C3F">
        <w:rPr>
          <w:rFonts w:ascii="Times New Roman" w:eastAsia="Times New Roman" w:hAnsi="Times New Roman" w:cs="Times New Roman"/>
          <w:sz w:val="36"/>
          <w:szCs w:val="36"/>
          <w:rtl/>
          <w:lang w:bidi="ar"/>
        </w:rPr>
        <w:t>ل السجناء في ضوء التشريع الدولي</w:t>
      </w:r>
      <w:r w:rsidR="00892C3F">
        <w:rPr>
          <w:rFonts w:ascii="Times New Roman" w:eastAsia="Times New Roman" w:hAnsi="Times New Roman" w:cs="Times New Roman" w:hint="cs"/>
          <w:sz w:val="36"/>
          <w:szCs w:val="36"/>
          <w:rtl/>
          <w:lang w:bidi="ar"/>
        </w:rPr>
        <w:t>.</w:t>
      </w:r>
    </w:p>
    <w:p w:rsidR="004D7B92" w:rsidRDefault="004D7B92" w:rsidP="00892C3F">
      <w:pPr>
        <w:spacing w:after="0" w:line="240" w:lineRule="auto"/>
        <w:rPr>
          <w:rFonts w:ascii="Times New Roman" w:eastAsia="Times New Roman" w:hAnsi="Times New Roman" w:cs="Times New Roman"/>
          <w:sz w:val="24"/>
          <w:szCs w:val="24"/>
          <w:rtl/>
          <w:lang w:bidi="ar"/>
        </w:rPr>
      </w:pPr>
    </w:p>
    <w:p w:rsidR="004D7B92" w:rsidRDefault="00892C3F"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hint="cs"/>
          <w:sz w:val="36"/>
          <w:szCs w:val="36"/>
          <w:rtl/>
          <w:lang w:bidi="ar"/>
        </w:rPr>
        <w:t>ف</w:t>
      </w:r>
      <w:r w:rsidR="004D7B92">
        <w:rPr>
          <w:rFonts w:ascii="Times New Roman" w:eastAsia="Times New Roman" w:hAnsi="Times New Roman" w:cs="Times New Roman"/>
          <w:sz w:val="36"/>
          <w:szCs w:val="36"/>
          <w:rtl/>
          <w:lang w:bidi="ar"/>
        </w:rPr>
        <w:t>مما لاشك فيه أن اهتمام التشريع سواء الدولي أو الوطني في عملية اصلاح السجناء تزايد منذ مطلع الخمسينات من القرن الماضي، ويعود الفضل إلى التشريع الدولي في تكريس مقتضيات قانونية تؤطر وتنظم هذا الميدان المعقد الصعب، وذلك وعيا من المشرع الدولي بأهمية عملية التأهيل في حياة السجين بعد الإفراج عنه، فكيف كرس المشرع الدولي عملية تأهيل السجناء؟</w:t>
      </w:r>
    </w:p>
    <w:p w:rsidR="004D7B92" w:rsidRDefault="004D7B92" w:rsidP="00892C3F">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 xml:space="preserve">وما هي المقتضيات التي تعنى بالجانب التأهيلي في التشريع الدولي؟ </w:t>
      </w:r>
    </w:p>
    <w:p w:rsidR="004D7B92" w:rsidRDefault="00892C3F" w:rsidP="00892C3F">
      <w:pPr>
        <w:spacing w:after="0" w:line="240" w:lineRule="auto"/>
        <w:jc w:val="both"/>
        <w:rPr>
          <w:rFonts w:ascii="Times New Roman" w:eastAsia="Times New Roman" w:hAnsi="Times New Roman" w:cs="Times New Roman"/>
          <w:sz w:val="24"/>
          <w:szCs w:val="24"/>
          <w:rtl/>
          <w:lang w:bidi="ar"/>
        </w:rPr>
      </w:pPr>
      <w:r w:rsidRPr="00892C3F">
        <w:rPr>
          <w:rFonts w:ascii="Times New Roman" w:eastAsia="Times New Roman" w:hAnsi="Times New Roman" w:cs="Times New Roman" w:hint="cs"/>
          <w:sz w:val="36"/>
          <w:szCs w:val="36"/>
          <w:rtl/>
          <w:lang w:bidi="ar"/>
        </w:rPr>
        <w:t>ان</w:t>
      </w:r>
      <w:r w:rsidR="004D7B92">
        <w:rPr>
          <w:rFonts w:ascii="Times New Roman" w:eastAsia="Times New Roman" w:hAnsi="Times New Roman" w:cs="Times New Roman"/>
          <w:sz w:val="36"/>
          <w:szCs w:val="36"/>
          <w:rtl/>
          <w:lang w:bidi="ar"/>
        </w:rPr>
        <w:t xml:space="preserve"> العشرات من الاتفاقيات التي تعنى بحقوق الإنسان، تشمل جميع الفئات، بما في ذلك فئة السجناء، كانت لوق</w:t>
      </w:r>
      <w:r>
        <w:rPr>
          <w:rFonts w:ascii="Times New Roman" w:eastAsia="Times New Roman" w:hAnsi="Times New Roman" w:cs="Times New Roman"/>
          <w:sz w:val="36"/>
          <w:szCs w:val="36"/>
          <w:rtl/>
          <w:lang w:bidi="ar"/>
        </w:rPr>
        <w:t>ت قريب معزولة عن العالم الخارجي</w:t>
      </w:r>
      <w:r w:rsidR="004D7B92">
        <w:rPr>
          <w:rFonts w:ascii="Times New Roman" w:eastAsia="Times New Roman" w:hAnsi="Times New Roman" w:cs="Times New Roman"/>
          <w:sz w:val="36"/>
          <w:szCs w:val="36"/>
          <w:rtl/>
          <w:lang w:bidi="ar"/>
        </w:rPr>
        <w:t xml:space="preserve">، وذلك انسجاما مع المطالبات الحقوقية التي تنادي </w:t>
      </w:r>
      <w:proofErr w:type="spellStart"/>
      <w:r w:rsidR="004D7B92">
        <w:rPr>
          <w:rFonts w:ascii="Times New Roman" w:eastAsia="Times New Roman" w:hAnsi="Times New Roman" w:cs="Times New Roman"/>
          <w:sz w:val="36"/>
          <w:szCs w:val="36"/>
          <w:rtl/>
          <w:lang w:bidi="ar"/>
        </w:rPr>
        <w:t>بأنس</w:t>
      </w:r>
      <w:r>
        <w:rPr>
          <w:rFonts w:ascii="Times New Roman" w:eastAsia="Times New Roman" w:hAnsi="Times New Roman" w:cs="Times New Roman" w:hint="cs"/>
          <w:sz w:val="36"/>
          <w:szCs w:val="36"/>
          <w:rtl/>
          <w:lang w:bidi="ar"/>
        </w:rPr>
        <w:t>ا</w:t>
      </w:r>
      <w:r w:rsidR="004D7B92">
        <w:rPr>
          <w:rFonts w:ascii="Times New Roman" w:eastAsia="Times New Roman" w:hAnsi="Times New Roman" w:cs="Times New Roman"/>
          <w:sz w:val="36"/>
          <w:szCs w:val="36"/>
          <w:rtl/>
          <w:lang w:bidi="ar"/>
        </w:rPr>
        <w:t>ن</w:t>
      </w:r>
      <w:r>
        <w:rPr>
          <w:rFonts w:ascii="Times New Roman" w:eastAsia="Times New Roman" w:hAnsi="Times New Roman" w:cs="Times New Roman" w:hint="cs"/>
          <w:sz w:val="36"/>
          <w:szCs w:val="36"/>
          <w:rtl/>
          <w:lang w:bidi="ar"/>
        </w:rPr>
        <w:t>ي</w:t>
      </w:r>
      <w:r w:rsidR="004D7B92">
        <w:rPr>
          <w:rFonts w:ascii="Times New Roman" w:eastAsia="Times New Roman" w:hAnsi="Times New Roman" w:cs="Times New Roman"/>
          <w:sz w:val="36"/>
          <w:szCs w:val="36"/>
          <w:rtl/>
          <w:lang w:bidi="ar"/>
        </w:rPr>
        <w:t>ة</w:t>
      </w:r>
      <w:proofErr w:type="spellEnd"/>
      <w:r w:rsidR="004D7B92">
        <w:rPr>
          <w:rFonts w:ascii="Times New Roman" w:eastAsia="Times New Roman" w:hAnsi="Times New Roman" w:cs="Times New Roman"/>
          <w:sz w:val="36"/>
          <w:szCs w:val="36"/>
          <w:rtl/>
          <w:lang w:bidi="ar"/>
        </w:rPr>
        <w:t xml:space="preserve"> العقوبة والنظر إلى هذه الفئة بعين الاعتبار، وبالفعل اهتم التشريع الدولي بالوظيفة الجديدة للعقوبة التي ترتكز على إصلاح السجين وتقويمه وتأهيله من اجل إعادة التشريع الدولي بالوظيفة الجديدة للعقوبة، والتي ترتكز على إصلاح السجين وتقويمه وتأهيله من اجل إعادة إدماجه في المجتمع، وخصص الكثير من المقتضيات التي تنظم حقوق السجناء وتساعدهم على التأهيل، ونظرا لكثرتها وصعوبة الإحاطة بها كاملة سنقوم خلال دراستنا بالتركيز على أهم ما جاء من مقتضيات وأحكام وضوابط تنظيم عملية تأهيل السجناء فقط على مستوى ثلاث أو أربعة اتفاقيات وهي:</w:t>
      </w:r>
    </w:p>
    <w:p w:rsidR="004D7B92" w:rsidRDefault="004D7B92" w:rsidP="004D7B92">
      <w:pPr>
        <w:spacing w:after="0" w:line="240" w:lineRule="auto"/>
        <w:jc w:val="both"/>
        <w:rPr>
          <w:rFonts w:ascii="Times New Roman" w:eastAsia="Times New Roman" w:hAnsi="Times New Roman" w:cs="Times New Roman"/>
          <w:sz w:val="24"/>
          <w:szCs w:val="24"/>
          <w:rtl/>
          <w:lang w:bidi="ar"/>
        </w:rPr>
      </w:pPr>
    </w:p>
    <w:p w:rsidR="004D7B92" w:rsidRPr="00892C3F" w:rsidRDefault="004D7B92" w:rsidP="004D7B92">
      <w:pPr>
        <w:spacing w:after="0" w:line="240" w:lineRule="auto"/>
        <w:jc w:val="both"/>
        <w:rPr>
          <w:rFonts w:ascii="Times New Roman" w:eastAsia="Times New Roman" w:hAnsi="Times New Roman" w:cs="Times New Roman"/>
          <w:sz w:val="36"/>
          <w:szCs w:val="36"/>
          <w:rtl/>
          <w:lang w:bidi="ar"/>
        </w:rPr>
      </w:pPr>
      <w:r w:rsidRPr="00892C3F">
        <w:rPr>
          <w:rFonts w:ascii="Times New Roman" w:eastAsia="Times New Roman" w:hAnsi="Times New Roman" w:cs="Times New Roman"/>
          <w:sz w:val="36"/>
          <w:szCs w:val="36"/>
          <w:rtl/>
          <w:lang w:bidi="ar"/>
        </w:rPr>
        <w:t>أولا: المعهد الدولي الخاص بالحقوق المدنية والسياسية:</w:t>
      </w:r>
    </w:p>
    <w:p w:rsidR="004D7B92" w:rsidRDefault="004D7B92" w:rsidP="004D7B92">
      <w:pPr>
        <w:spacing w:after="0" w:line="240" w:lineRule="auto"/>
        <w:jc w:val="both"/>
        <w:rPr>
          <w:rFonts w:ascii="Times New Roman" w:eastAsia="Times New Roman" w:hAnsi="Times New Roman" w:cs="Times New Roman"/>
          <w:sz w:val="24"/>
          <w:szCs w:val="24"/>
          <w:rtl/>
          <w:lang w:bidi="ar"/>
        </w:rPr>
      </w:pP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يعتبر العهد الدولي للحقوق المدنية والسياسية من أول الاتفاقيات الدولية التي ركزت على الجانب الإصلاحي التأهيلي للعقوبة، وهذا الجانب حاضرا وبقوة ضمن مقتضيات المادة 10 منه جاء فيها ما يلي[5] :</w:t>
      </w: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1-    يعامل جميع المحرومين من حريتهم معاملة إنسانية تحترم الكرامة الأصلية في الشخص الإنساني.</w:t>
      </w: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2-   يفصل الأشخاص المتهمون عن الأشخاص المدانين إلا في ظروف استثنائية ويكونون محل معاملة على حدا تتفق مع كونهم أشخاص غير مدانين، كما يفصل المتهمون الأحداث عن البالغين ويحالون بالسرعة الممكنة إلى القضاء للفصل في قضاياهم.</w:t>
      </w: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3-    يجب أن يراعى نظام السجون معاملة المسجونين معاملة يكون هدفها الأساسي إصلاحهم وإعادة تأهيلهم الاجتماعي ويفصل المذنبون الأحداث عن البالغين ويعاملون معاملة تتفق مع سنهم ومركزهم.</w:t>
      </w:r>
    </w:p>
    <w:p w:rsidR="004D7B92" w:rsidRDefault="004D7B92" w:rsidP="004D7B92">
      <w:pPr>
        <w:spacing w:after="0" w:line="240" w:lineRule="auto"/>
        <w:jc w:val="both"/>
        <w:rPr>
          <w:rFonts w:ascii="Times New Roman" w:eastAsia="Times New Roman" w:hAnsi="Times New Roman" w:cs="Times New Roman"/>
          <w:sz w:val="24"/>
          <w:szCs w:val="24"/>
          <w:rtl/>
          <w:lang w:bidi="ar"/>
        </w:rPr>
      </w:pPr>
    </w:p>
    <w:p w:rsidR="004D7B92" w:rsidRPr="00892C3F" w:rsidRDefault="004D7B92" w:rsidP="004D7B92">
      <w:pPr>
        <w:spacing w:after="0" w:line="240" w:lineRule="auto"/>
        <w:jc w:val="both"/>
        <w:rPr>
          <w:rFonts w:ascii="Times New Roman" w:eastAsia="Times New Roman" w:hAnsi="Times New Roman" w:cs="Times New Roman"/>
          <w:sz w:val="36"/>
          <w:szCs w:val="36"/>
          <w:rtl/>
          <w:lang w:bidi="ar"/>
        </w:rPr>
      </w:pPr>
      <w:r w:rsidRPr="00892C3F">
        <w:rPr>
          <w:rFonts w:ascii="Times New Roman" w:eastAsia="Times New Roman" w:hAnsi="Times New Roman" w:cs="Times New Roman"/>
          <w:sz w:val="36"/>
          <w:szCs w:val="36"/>
          <w:rtl/>
          <w:lang w:bidi="ar"/>
        </w:rPr>
        <w:t>ثانيا: القواعد النموذجية الدنيا لمعاملة السجناء</w:t>
      </w:r>
    </w:p>
    <w:p w:rsidR="004D7B92" w:rsidRDefault="004D7B92" w:rsidP="004D7B92">
      <w:pPr>
        <w:spacing w:after="0" w:line="240" w:lineRule="auto"/>
        <w:jc w:val="both"/>
        <w:rPr>
          <w:rFonts w:ascii="Times New Roman" w:eastAsia="Times New Roman" w:hAnsi="Times New Roman" w:cs="Times New Roman"/>
          <w:sz w:val="24"/>
          <w:szCs w:val="24"/>
          <w:rtl/>
          <w:lang w:bidi="ar"/>
        </w:rPr>
      </w:pP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 xml:space="preserve">تعتبر القواعد النموذجية الدنيا لمعاملة السجناء قواعد ومبادئ توجيهية، تمثل الحد الأدنى لمعاملة السجناء من قبل القائمين على إدارة المؤسسات السجنية، هذه القواعد والمبادئ تجسد توجه التشريع الدولي نحو </w:t>
      </w:r>
      <w:proofErr w:type="spellStart"/>
      <w:r>
        <w:rPr>
          <w:rFonts w:ascii="Times New Roman" w:eastAsia="Times New Roman" w:hAnsi="Times New Roman" w:cs="Times New Roman"/>
          <w:sz w:val="36"/>
          <w:szCs w:val="36"/>
          <w:rtl/>
          <w:lang w:bidi="ar"/>
        </w:rPr>
        <w:t>أنس</w:t>
      </w:r>
      <w:r w:rsidR="001744A4">
        <w:rPr>
          <w:rFonts w:ascii="Times New Roman" w:eastAsia="Times New Roman" w:hAnsi="Times New Roman" w:cs="Times New Roman" w:hint="cs"/>
          <w:sz w:val="36"/>
          <w:szCs w:val="36"/>
          <w:rtl/>
          <w:lang w:bidi="ar"/>
        </w:rPr>
        <w:t>ا</w:t>
      </w:r>
      <w:r>
        <w:rPr>
          <w:rFonts w:ascii="Times New Roman" w:eastAsia="Times New Roman" w:hAnsi="Times New Roman" w:cs="Times New Roman"/>
          <w:sz w:val="36"/>
          <w:szCs w:val="36"/>
          <w:rtl/>
          <w:lang w:bidi="ar"/>
        </w:rPr>
        <w:t>ن</w:t>
      </w:r>
      <w:r w:rsidR="001744A4">
        <w:rPr>
          <w:rFonts w:ascii="Times New Roman" w:eastAsia="Times New Roman" w:hAnsi="Times New Roman" w:cs="Times New Roman" w:hint="cs"/>
          <w:sz w:val="36"/>
          <w:szCs w:val="36"/>
          <w:rtl/>
          <w:lang w:bidi="ar"/>
        </w:rPr>
        <w:t>ي</w:t>
      </w:r>
      <w:r>
        <w:rPr>
          <w:rFonts w:ascii="Times New Roman" w:eastAsia="Times New Roman" w:hAnsi="Times New Roman" w:cs="Times New Roman"/>
          <w:sz w:val="36"/>
          <w:szCs w:val="36"/>
          <w:rtl/>
          <w:lang w:bidi="ar"/>
        </w:rPr>
        <w:t>ة</w:t>
      </w:r>
      <w:proofErr w:type="spellEnd"/>
      <w:r>
        <w:rPr>
          <w:rFonts w:ascii="Times New Roman" w:eastAsia="Times New Roman" w:hAnsi="Times New Roman" w:cs="Times New Roman"/>
          <w:sz w:val="36"/>
          <w:szCs w:val="36"/>
          <w:rtl/>
          <w:lang w:bidi="ar"/>
        </w:rPr>
        <w:t xml:space="preserve"> العقوبة وإعطاء المزيد من الحقوق والضمانات للسجناء وذلك قصد ضمان أنجع الطرق لتأهيلهم من اجل إعادة إدماجهم بعد الإفراج عنهم، فيما يتعلق بالأحكام والمظاهر التي تتعلق بالتأهيل سنعمل على الإحاطة ببعض المظاهر والأحكام في هذه الاتفاقية وهي:</w:t>
      </w: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المواد 24-25-26 و29 أغلبها تؤكد على ضرورة البرامج الإصلاحية في السجون لضمان تأهيل الحدث الجانح.</w:t>
      </w:r>
    </w:p>
    <w:p w:rsidR="004D7B92" w:rsidRDefault="004D7B92" w:rsidP="001744A4">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وخصصت الاتفاقية المتعلقة بالقواعد النموذجية الدنيا لمعاملة السجناء الجزء الثاني منها المعنون (قواعد تطبق على فئات خاصة) تحديدا الفقرة أ المتعلقة بالسجناء المدانون للمظاهر التي يرتكز عليها التأهيل سنتطرق إلى بعضها وهي:</w:t>
      </w:r>
    </w:p>
    <w:p w:rsidR="004D7B92" w:rsidRDefault="004D7B92" w:rsidP="004D7B92">
      <w:pPr>
        <w:spacing w:after="0" w:line="240" w:lineRule="auto"/>
        <w:jc w:val="both"/>
        <w:rPr>
          <w:rFonts w:ascii="Times New Roman" w:eastAsia="Times New Roman" w:hAnsi="Times New Roman" w:cs="Times New Roman"/>
          <w:sz w:val="24"/>
          <w:szCs w:val="24"/>
          <w:rtl/>
          <w:lang w:bidi="ar"/>
        </w:rPr>
      </w:pP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أ‌-        التصنيف والمعالجة:</w:t>
      </w: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من المرتكزات التي يقوم عليها التأهيل هي التصنيف والمعالجة إلى جانب العمل ولقد أتت القواعد النموذجية الدنيا لمعاملة السجناء على ذكر المعالجة والتصنيف الفئوي في المواد من</w:t>
      </w:r>
    </w:p>
    <w:p w:rsidR="004D7B92" w:rsidRDefault="004D7B92" w:rsidP="004D7B92">
      <w:pPr>
        <w:spacing w:after="0" w:line="240" w:lineRule="auto"/>
        <w:jc w:val="both"/>
        <w:rPr>
          <w:rFonts w:ascii="Times New Roman" w:eastAsia="Times New Roman" w:hAnsi="Times New Roman" w:cs="Times New Roman"/>
          <w:sz w:val="24"/>
          <w:szCs w:val="24"/>
          <w:rtl/>
          <w:lang w:bidi="ar"/>
        </w:rPr>
      </w:pP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  المعالجة: (المواد 65 إلى 66)</w:t>
      </w: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جاء في المادة 65 ما يلي: إن الهدف من معالجة المحكوم عليهم بالسجن أو بتدبير مماثل من الحرية يجب أن يكون بقدر ما تسمح بذلك مدة العقوبة إكسابهم العزيمة على أن يمشوا في ظل القانون وان يتدبروا احتياجاتهم بجهدهم، وجعلهم قادرين على إنقاذ هذه الغريبة ويجب أن يخطط هذا العلاج بحيث يشجع احترامهم لذواتهم ويمن لديهم حسن المسؤولية.</w:t>
      </w: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br/>
        <w:t>-  التصنيف الفئوي وإفرادية العلاج في المواد  67 إلى 69</w:t>
      </w: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   المادة 67 تنص على ان مقاصد التصنيف الفئوي يجب :</w:t>
      </w:r>
    </w:p>
    <w:p w:rsidR="004D7B92" w:rsidRDefault="004D7B92" w:rsidP="004D7B92">
      <w:pPr>
        <w:spacing w:after="0" w:line="240" w:lineRule="auto"/>
        <w:jc w:val="both"/>
        <w:rPr>
          <w:rFonts w:ascii="Times New Roman" w:eastAsia="Times New Roman" w:hAnsi="Times New Roman" w:cs="Times New Roman"/>
          <w:sz w:val="24"/>
          <w:szCs w:val="24"/>
          <w:rtl/>
          <w:lang w:bidi="ar"/>
        </w:rPr>
      </w:pP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1)   أن يفصل عن الآخرين أولئك المسجونون الذين يرجح، بسبب ماضيهم او شراسة طباعهم، أن يكونوا ذوي تأثير سيء عليهم.</w:t>
      </w: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2)   أن يصنف المسجونون في فئات ما بغية تيسير علاجهم على هدف إعادة تأهيلهم الاجتماعي.</w:t>
      </w:r>
    </w:p>
    <w:p w:rsidR="004D7B92" w:rsidRDefault="004D7B92" w:rsidP="004D7B92">
      <w:pPr>
        <w:spacing w:after="0" w:line="240" w:lineRule="auto"/>
        <w:jc w:val="both"/>
        <w:rPr>
          <w:rFonts w:ascii="Times New Roman" w:eastAsia="Times New Roman" w:hAnsi="Times New Roman" w:cs="Times New Roman"/>
          <w:sz w:val="24"/>
          <w:szCs w:val="24"/>
          <w:rtl/>
          <w:lang w:bidi="ar"/>
        </w:rPr>
      </w:pP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ب  العمل:</w:t>
      </w: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يعتبر العمل العمود الفقري لعلمية التأهيل ولقد أفرزت له القواعد النموذجية الدنيا لمعاملة السجناء (71 إلى 76) ، ولقد جاء من نفس المادة 71 ما يلي:</w:t>
      </w: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1-      لا يجوز العمل في السجن ذات طبيعة مؤلمة.</w:t>
      </w: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2-      يفرض العمل على جميع السجناء المحكوم عليهم تبعا للياقتهم البدنية والعقلية كما يحددها الطبيب.</w:t>
      </w: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3-      تشغيل السجناء يوفر لهم عمل منتج طوال اليوم العادي.</w:t>
      </w: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 xml:space="preserve">4-      يكون هذا العمل إلى أقصى الحدود </w:t>
      </w:r>
      <w:proofErr w:type="spellStart"/>
      <w:r>
        <w:rPr>
          <w:rFonts w:ascii="Times New Roman" w:eastAsia="Times New Roman" w:hAnsi="Times New Roman" w:cs="Times New Roman"/>
          <w:sz w:val="36"/>
          <w:szCs w:val="36"/>
          <w:rtl/>
          <w:lang w:bidi="ar"/>
        </w:rPr>
        <w:t>المستطاعة</w:t>
      </w:r>
      <w:proofErr w:type="spellEnd"/>
      <w:r>
        <w:rPr>
          <w:rFonts w:ascii="Times New Roman" w:eastAsia="Times New Roman" w:hAnsi="Times New Roman" w:cs="Times New Roman"/>
          <w:sz w:val="36"/>
          <w:szCs w:val="36"/>
          <w:rtl/>
          <w:lang w:bidi="ar"/>
        </w:rPr>
        <w:t>، من نوع يصون أو يزيد قدرة السجين على تأمين عيشه بكسب شريف بعد إطلاق سراحه.</w:t>
      </w: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5-      يوفر تدريب مهن نافع للسجناء القادرين على الانتفاع به ولاسيما الشباب</w:t>
      </w: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6-      تتاح للسجناء في حدود ما يتماشى مع الاختيار المهني السليم ومتطلبات إدارة السجن والانضباط فيه إمكانية اختيار نوع التعلم الذي يرغبون القيام به.</w:t>
      </w:r>
    </w:p>
    <w:p w:rsidR="004D7B92" w:rsidRDefault="004D7B92" w:rsidP="004D7B92">
      <w:pPr>
        <w:spacing w:after="0" w:line="240" w:lineRule="auto"/>
        <w:jc w:val="both"/>
        <w:rPr>
          <w:rFonts w:ascii="Times New Roman" w:eastAsia="Times New Roman" w:hAnsi="Times New Roman" w:cs="Times New Roman"/>
          <w:sz w:val="24"/>
          <w:szCs w:val="24"/>
          <w:rtl/>
          <w:lang w:bidi="ar"/>
        </w:rPr>
      </w:pP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ج- التعليم والترفيه: (المواد 77 إلى 78)</w:t>
      </w: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ولقد نصت المادة 77 من الفقرة الأولى منها على ما يلي: تتخذ إجراءات لمواصلة تعليم جميع السجناء القادرين على الاستفادة منه، بما في ذلك التعليم الدين في البلدان التي يمكن فيها ذلك ويجب أن يكون تعليم الأميين والأحداث إلزاميا وان توجه إليه الإدارة عناية خاصة.</w:t>
      </w: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أما الفقرة الثانية من المادة 77 تضمنت ما يلي:</w:t>
      </w:r>
    </w:p>
    <w:p w:rsidR="004D7B92" w:rsidRDefault="004D7B92" w:rsidP="004D7B92">
      <w:pPr>
        <w:spacing w:after="0" w:line="240" w:lineRule="auto"/>
        <w:jc w:val="both"/>
        <w:rPr>
          <w:rFonts w:ascii="Times New Roman" w:eastAsia="Times New Roman" w:hAnsi="Times New Roman" w:cs="Times New Roman"/>
          <w:sz w:val="24"/>
          <w:szCs w:val="24"/>
          <w:rtl/>
          <w:lang w:bidi="ar"/>
        </w:rPr>
      </w:pPr>
      <w:r>
        <w:rPr>
          <w:rFonts w:ascii="Times New Roman" w:eastAsia="Times New Roman" w:hAnsi="Times New Roman" w:cs="Times New Roman"/>
          <w:sz w:val="36"/>
          <w:szCs w:val="36"/>
          <w:rtl/>
          <w:lang w:bidi="ar"/>
        </w:rPr>
        <w:t>يجعل تعليم السجناء في حدود المستطاع عمليا متناسقا مع التعليم العام في البلد بحيث يكون في مقدورهم، بعد إطلاق سراحهم، أن يواصلوا الدراسة دون عناء.</w:t>
      </w:r>
    </w:p>
    <w:p w:rsidR="00203164" w:rsidRDefault="00203164">
      <w:pPr>
        <w:rPr>
          <w:lang w:bidi="ar"/>
        </w:rPr>
      </w:pPr>
    </w:p>
    <w:sectPr w:rsidR="00203164" w:rsidSect="0094163F">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Times New Roman">
    <w:altName w:val="Arial"/>
    <w:panose1 w:val="02020603050405020304"/>
    <w:charset w:val="00"/>
    <w:family w:val="roman"/>
    <w:pitch w:val="variable"/>
    <w:sig w:usb0="00000000"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30"/>
  <w:proofState w:spelling="clean"/>
  <w:revisionView w:inkAnnotation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D4E0C"/>
    <w:rsid w:val="001744A4"/>
    <w:rsid w:val="00203164"/>
    <w:rsid w:val="00471835"/>
    <w:rsid w:val="004D7B92"/>
    <w:rsid w:val="00892C3F"/>
    <w:rsid w:val="0094163F"/>
    <w:rsid w:val="00DD4E0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87A23E1-81BD-5B4F-84BE-771F06789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D7B92"/>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8799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5" Type="http://schemas.openxmlformats.org/officeDocument/2006/relationships/theme" Target="theme/theme1.xml" /><Relationship Id="rId4" Type="http://schemas.openxmlformats.org/officeDocument/2006/relationships/fontTable" Target="fontTable.xml" /></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836</Words>
  <Characters>4769</Characters>
  <Application>Microsoft Office Word</Application>
  <DocSecurity>0</DocSecurity>
  <Lines>39</Lines>
  <Paragraphs>11</Paragraphs>
  <ScaleCrop>false</ScaleCrop>
  <Company>SACC</Company>
  <LinksUpToDate>false</LinksUpToDate>
  <CharactersWithSpaces>5594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Maher</dc:creator>
  <cp:keywords/>
  <dc:description/>
  <cp:lastModifiedBy>مستخدم ضيف</cp:lastModifiedBy>
  <cp:revision>2</cp:revision>
  <dcterms:created xsi:type="dcterms:W3CDTF">2022-02-23T09:00:00Z</dcterms:created>
  <dcterms:modified xsi:type="dcterms:W3CDTF">2022-02-23T09:00:00Z</dcterms:modified>
</cp:coreProperties>
</file>