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39" w:rsidRPr="006C7C39" w:rsidRDefault="006C7C39" w:rsidP="006C7C39">
      <w:pPr>
        <w:bidi/>
        <w:rPr>
          <w:b/>
          <w:bCs/>
          <w:sz w:val="24"/>
          <w:szCs w:val="24"/>
          <w:rtl/>
        </w:rPr>
      </w:pPr>
      <w:bookmarkStart w:id="0" w:name="_GoBack"/>
      <w:r w:rsidRPr="006C7C39">
        <w:rPr>
          <w:rFonts w:cs="Arial"/>
          <w:b/>
          <w:bCs/>
          <w:sz w:val="24"/>
          <w:szCs w:val="24"/>
          <w:rtl/>
        </w:rPr>
        <w:t>حاضرة: مجلس الأمن الدولي (الهيكل والآليات القانونية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​مقدمة المحاضرة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​يُعد مجلس الأمن الأداة التنفيذية الأهم في منظمة الأمم المتحدة، والمسؤول الأول عن حفظ السلم والأمن الدوليين. سنناقش اليوم كيفية عمل هذا المجلس من الداخل، بدءاً من لجان المساعدة وصولاً إلى "بعبع" القانون الدولي: حق الفيتو</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​المحور الأول: اللجان والفروع الثانوية للمجلس</w:t>
      </w:r>
    </w:p>
    <w:p w:rsidR="006C7C39" w:rsidRPr="006C7C39" w:rsidRDefault="006C7C39" w:rsidP="006C7C39">
      <w:pPr>
        <w:bidi/>
        <w:rPr>
          <w:b/>
          <w:bCs/>
          <w:sz w:val="24"/>
          <w:szCs w:val="24"/>
          <w:rtl/>
        </w:rPr>
      </w:pPr>
      <w:r w:rsidRPr="006C7C39">
        <w:rPr>
          <w:rFonts w:cs="Arial"/>
          <w:b/>
          <w:bCs/>
          <w:sz w:val="24"/>
          <w:szCs w:val="24"/>
          <w:rtl/>
        </w:rPr>
        <w:t>​لا يعمل المجلس بمفرده، بل يستعين بفروع ثانوية (بموجب المادة 29 من الميثاق) تنقسم إلى نوعين</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​اللجان الدائمة: مثل "لجنة الخبراء" المختصة بالقوانين، و"لجنة قبول الأعضاء الجدد</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​اللجان المؤقتة: تُنشأ لغرض محدد وتنتهي بانتهاء مهمتها (مثل لجان التحقيق أو لوساطة في نزاع معين كنزاع إندونيسيا وفلسطين تاريخياً</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​لجنة أركان الحرب: وهي لجنة فريدة نصت عليها المادة 47، وتتكون من رؤساء أركان حرب الدول الدائمة العضوية لتقديم المشورة العسكرية للمجلس</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​المحور الثاني: نظام العمل وانعقاد الجلسات</w:t>
      </w:r>
    </w:p>
    <w:p w:rsidR="006C7C39" w:rsidRPr="006C7C39" w:rsidRDefault="006C7C39" w:rsidP="006C7C39">
      <w:pPr>
        <w:bidi/>
        <w:rPr>
          <w:b/>
          <w:bCs/>
          <w:sz w:val="24"/>
          <w:szCs w:val="24"/>
          <w:rtl/>
        </w:rPr>
      </w:pPr>
      <w:r w:rsidRPr="006C7C39">
        <w:rPr>
          <w:rFonts w:cs="Arial"/>
          <w:b/>
          <w:bCs/>
          <w:sz w:val="24"/>
          <w:szCs w:val="24"/>
          <w:rtl/>
        </w:rPr>
        <w:t>​التمثيل الدائم: على عكس الجمعية العامة، يجب أن يكون لكل دولة عضو في المجلس "تمثيل دائم" في مقر المنظمة، لضمان قدرة المجلس على الانعقاد في أي لحظة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​رئاسة المجلس: تتداول رئاسة المجلس بين أعضائه شهرياً وفق الترتيب الأبجدي (باللغة الإنجليزية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​علنية الجلسات: الأصل أن تكون الجلسات علنية، لكن يجوز للمجلس عقد جلسات سرية إذا اقتضت الضرورة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​المحور الثالث: نظام التصويت (المادة 27</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​هنا تكمن القوة القانونية للمجلس، حيث يفرق الميثاق بين نوعين من القرارات</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​المسائل الإجرائية: يكفي لصدورها موافقة 9 أعضاء (أياً كانوا</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​المسائل الموضوعية (الهامة): تتطلب موافقة 9 أعضاء، بشرط أن يكون من بينهم أصوات الدول الخمس الدائمة متفقة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​المحور الرابع: "الفيتو" والاعتراض المزدوج</w:t>
      </w:r>
      <w:r w:rsidRPr="006C7C39">
        <w:rPr>
          <w:b/>
          <w:bCs/>
          <w:sz w:val="24"/>
          <w:szCs w:val="24"/>
        </w:rPr>
        <w:t xml:space="preserve"> (Double Veto)</w:t>
      </w:r>
    </w:p>
    <w:p w:rsidR="006C7C39" w:rsidRPr="006C7C39" w:rsidRDefault="006C7C39" w:rsidP="006C7C39">
      <w:pPr>
        <w:bidi/>
        <w:rPr>
          <w:b/>
          <w:bCs/>
          <w:sz w:val="24"/>
          <w:szCs w:val="24"/>
          <w:rtl/>
        </w:rPr>
      </w:pPr>
      <w:r w:rsidRPr="006C7C39">
        <w:rPr>
          <w:rFonts w:cs="Arial"/>
          <w:b/>
          <w:bCs/>
          <w:sz w:val="24"/>
          <w:szCs w:val="24"/>
          <w:rtl/>
        </w:rPr>
        <w:t>​حق الاعتراض</w:t>
      </w:r>
      <w:r w:rsidRPr="006C7C39">
        <w:rPr>
          <w:b/>
          <w:bCs/>
          <w:sz w:val="24"/>
          <w:szCs w:val="24"/>
        </w:rPr>
        <w:t xml:space="preserve"> (Veto): </w:t>
      </w:r>
      <w:r w:rsidRPr="006C7C39">
        <w:rPr>
          <w:rFonts w:cs="Arial"/>
          <w:b/>
          <w:bCs/>
          <w:sz w:val="24"/>
          <w:szCs w:val="24"/>
          <w:rtl/>
        </w:rPr>
        <w:t>هو قدرة أي دولة من الخمس الكبار (أمريكا، روسيا، الصين، فرنسا، بريطانيا) على إحباط أي قرار موضوعي بمجرد التصويت بـ "لا"، حتى لو وافق بقية الأعضاء الـ 14</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​الاعتراض المزدوج: ظاهرة قانونية تحدث عندما يثور خلاف حول وصف المسألة (هل هي إجرائية أم موضوعية؟). هنا تستخدم الدولة الدائمة "الفيتو" مرتين</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​المرة الأولى: للإصرار على أن المسألة "موضوعية" وليست إجرائية</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t>​المرة الثانية: لرفض القرار نفسه بعد اعتباره موضوعياً</w:t>
      </w:r>
      <w:r w:rsidRPr="006C7C39">
        <w:rPr>
          <w:b/>
          <w:bCs/>
          <w:sz w:val="24"/>
          <w:szCs w:val="24"/>
        </w:rPr>
        <w:t>.</w:t>
      </w:r>
    </w:p>
    <w:p w:rsidR="006C7C39" w:rsidRPr="006C7C39" w:rsidRDefault="006C7C39" w:rsidP="006C7C39">
      <w:pPr>
        <w:bidi/>
        <w:rPr>
          <w:b/>
          <w:bCs/>
          <w:sz w:val="24"/>
          <w:szCs w:val="24"/>
          <w:rtl/>
        </w:rPr>
      </w:pPr>
      <w:r w:rsidRPr="006C7C39">
        <w:rPr>
          <w:rFonts w:cs="Arial"/>
          <w:b/>
          <w:bCs/>
          <w:sz w:val="24"/>
          <w:szCs w:val="24"/>
          <w:rtl/>
        </w:rPr>
        <w:lastRenderedPageBreak/>
        <w:t>​المحور الخامس: حالات خاصة في التصويت</w:t>
      </w:r>
    </w:p>
    <w:p w:rsidR="006C7C39" w:rsidRPr="006C7C39" w:rsidRDefault="006C7C39" w:rsidP="006C7C39">
      <w:pPr>
        <w:bidi/>
        <w:rPr>
          <w:b/>
          <w:bCs/>
          <w:sz w:val="24"/>
          <w:szCs w:val="24"/>
          <w:rtl/>
        </w:rPr>
      </w:pPr>
      <w:r w:rsidRPr="006C7C39">
        <w:rPr>
          <w:rFonts w:cs="Arial"/>
          <w:b/>
          <w:bCs/>
          <w:sz w:val="24"/>
          <w:szCs w:val="24"/>
          <w:rtl/>
        </w:rPr>
        <w:t>​الامتناع عن التصويت: استقر العرف الدولي على أن امتناع الدولة الدائمة عن التصويت (أو غيابها) لا يمنع صدور القرار، ولا يُعتبر "فيتو</w:t>
      </w:r>
      <w:r w:rsidRPr="006C7C39">
        <w:rPr>
          <w:b/>
          <w:bCs/>
          <w:sz w:val="24"/>
          <w:szCs w:val="24"/>
        </w:rPr>
        <w:t>".</w:t>
      </w:r>
    </w:p>
    <w:p w:rsidR="007142F9" w:rsidRPr="006C7C39" w:rsidRDefault="006C7C39" w:rsidP="006C7C39">
      <w:pPr>
        <w:bidi/>
        <w:rPr>
          <w:b/>
          <w:bCs/>
          <w:sz w:val="24"/>
          <w:szCs w:val="24"/>
        </w:rPr>
      </w:pPr>
      <w:r w:rsidRPr="006C7C39">
        <w:rPr>
          <w:rFonts w:cs="Arial"/>
          <w:b/>
          <w:bCs/>
          <w:sz w:val="24"/>
          <w:szCs w:val="24"/>
          <w:rtl/>
        </w:rPr>
        <w:t>​الطرف في النزاع: إذا كانت الدولة (سواء دائمة أو غير دائمة) طرفاً في نزاع معروض على المجلس للتسوية السلمية، فعليها الامتناع عن التصويت عملاً بمبدأ "لا يجوز أن يكون الخصم حكماً".</w:t>
      </w:r>
      <w:bookmarkEnd w:id="0"/>
    </w:p>
    <w:sectPr w:rsidR="007142F9" w:rsidRPr="006C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716"/>
    <w:multiLevelType w:val="multilevel"/>
    <w:tmpl w:val="5C54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63CD9"/>
    <w:multiLevelType w:val="multilevel"/>
    <w:tmpl w:val="1A74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472A4"/>
    <w:multiLevelType w:val="multilevel"/>
    <w:tmpl w:val="84482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8491B"/>
    <w:multiLevelType w:val="multilevel"/>
    <w:tmpl w:val="B97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087098"/>
    <w:multiLevelType w:val="multilevel"/>
    <w:tmpl w:val="73C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5F20AE"/>
    <w:multiLevelType w:val="multilevel"/>
    <w:tmpl w:val="E04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4E"/>
    <w:rsid w:val="000756E6"/>
    <w:rsid w:val="000B7DAB"/>
    <w:rsid w:val="0048768C"/>
    <w:rsid w:val="006C7C39"/>
    <w:rsid w:val="007142F9"/>
    <w:rsid w:val="00785630"/>
    <w:rsid w:val="00794FA3"/>
    <w:rsid w:val="007C61E9"/>
    <w:rsid w:val="00842A7A"/>
    <w:rsid w:val="008A2B4E"/>
    <w:rsid w:val="00961301"/>
    <w:rsid w:val="009952D4"/>
    <w:rsid w:val="009A7BED"/>
    <w:rsid w:val="00A32977"/>
    <w:rsid w:val="00C4791B"/>
    <w:rsid w:val="00D30CC8"/>
    <w:rsid w:val="00E359C8"/>
    <w:rsid w:val="00EE3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4855">
      <w:bodyDiv w:val="1"/>
      <w:marLeft w:val="0"/>
      <w:marRight w:val="0"/>
      <w:marTop w:val="0"/>
      <w:marBottom w:val="0"/>
      <w:divBdr>
        <w:top w:val="none" w:sz="0" w:space="0" w:color="auto"/>
        <w:left w:val="none" w:sz="0" w:space="0" w:color="auto"/>
        <w:bottom w:val="none" w:sz="0" w:space="0" w:color="auto"/>
        <w:right w:val="none" w:sz="0" w:space="0" w:color="auto"/>
      </w:divBdr>
      <w:divsChild>
        <w:div w:id="1720592132">
          <w:marLeft w:val="0"/>
          <w:marRight w:val="0"/>
          <w:marTop w:val="0"/>
          <w:marBottom w:val="0"/>
          <w:divBdr>
            <w:top w:val="none" w:sz="0" w:space="0" w:color="auto"/>
            <w:left w:val="none" w:sz="0" w:space="0" w:color="auto"/>
            <w:bottom w:val="none" w:sz="0" w:space="0" w:color="auto"/>
            <w:right w:val="none" w:sz="0" w:space="0" w:color="auto"/>
          </w:divBdr>
          <w:divsChild>
            <w:div w:id="1044210511">
              <w:marLeft w:val="0"/>
              <w:marRight w:val="0"/>
              <w:marTop w:val="0"/>
              <w:marBottom w:val="0"/>
              <w:divBdr>
                <w:top w:val="none" w:sz="0" w:space="0" w:color="auto"/>
                <w:left w:val="none" w:sz="0" w:space="0" w:color="auto"/>
                <w:bottom w:val="none" w:sz="0" w:space="0" w:color="auto"/>
                <w:right w:val="none" w:sz="0" w:space="0" w:color="auto"/>
              </w:divBdr>
              <w:divsChild>
                <w:div w:id="2107143701">
                  <w:marLeft w:val="0"/>
                  <w:marRight w:val="0"/>
                  <w:marTop w:val="0"/>
                  <w:marBottom w:val="0"/>
                  <w:divBdr>
                    <w:top w:val="none" w:sz="0" w:space="0" w:color="auto"/>
                    <w:left w:val="none" w:sz="0" w:space="0" w:color="auto"/>
                    <w:bottom w:val="none" w:sz="0" w:space="0" w:color="auto"/>
                    <w:right w:val="none" w:sz="0" w:space="0" w:color="auto"/>
                  </w:divBdr>
                  <w:divsChild>
                    <w:div w:id="1185555409">
                      <w:marLeft w:val="0"/>
                      <w:marRight w:val="0"/>
                      <w:marTop w:val="0"/>
                      <w:marBottom w:val="0"/>
                      <w:divBdr>
                        <w:top w:val="none" w:sz="0" w:space="0" w:color="auto"/>
                        <w:left w:val="none" w:sz="0" w:space="0" w:color="auto"/>
                        <w:bottom w:val="none" w:sz="0" w:space="0" w:color="auto"/>
                        <w:right w:val="none" w:sz="0" w:space="0" w:color="auto"/>
                      </w:divBdr>
                    </w:div>
                    <w:div w:id="484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2</cp:revision>
  <dcterms:created xsi:type="dcterms:W3CDTF">2026-03-10T14:30:00Z</dcterms:created>
  <dcterms:modified xsi:type="dcterms:W3CDTF">2026-03-10T14:30:00Z</dcterms:modified>
</cp:coreProperties>
</file>