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FA3" w:rsidRPr="00794FA3" w:rsidRDefault="00794FA3" w:rsidP="00794FA3">
      <w:pPr>
        <w:bidi/>
        <w:rPr>
          <w:b/>
          <w:bCs/>
          <w:sz w:val="28"/>
          <w:szCs w:val="28"/>
          <w:rtl/>
          <w:lang w:bidi="ar-IQ"/>
        </w:rPr>
      </w:pPr>
      <w:r w:rsidRPr="00794FA3">
        <w:rPr>
          <w:rFonts w:cs="Arial"/>
          <w:b/>
          <w:bCs/>
          <w:sz w:val="28"/>
          <w:szCs w:val="28"/>
          <w:rtl/>
          <w:lang w:bidi="ar-IQ"/>
        </w:rPr>
        <w:t xml:space="preserve">محاضرة: </w:t>
      </w:r>
      <w:bookmarkStart w:id="0" w:name="_GoBack"/>
      <w:r w:rsidRPr="00794FA3">
        <w:rPr>
          <w:rFonts w:cs="Arial"/>
          <w:b/>
          <w:bCs/>
          <w:sz w:val="28"/>
          <w:szCs w:val="28"/>
          <w:rtl/>
          <w:lang w:bidi="ar-IQ"/>
        </w:rPr>
        <w:t>الشروط الإجرائية للانضمام</w:t>
      </w:r>
      <w:r w:rsidR="00D30CC8">
        <w:rPr>
          <w:rFonts w:cs="Arial" w:hint="cs"/>
          <w:b/>
          <w:bCs/>
          <w:sz w:val="28"/>
          <w:szCs w:val="28"/>
          <w:rtl/>
          <w:lang w:bidi="ar-IQ"/>
        </w:rPr>
        <w:t xml:space="preserve"> لمنظمة الامم المتحدة</w:t>
      </w:r>
    </w:p>
    <w:bookmarkEnd w:id="0"/>
    <w:p w:rsidR="00794FA3" w:rsidRPr="00794FA3" w:rsidRDefault="00794FA3" w:rsidP="00794FA3">
      <w:pPr>
        <w:bidi/>
        <w:rPr>
          <w:b/>
          <w:bCs/>
          <w:sz w:val="28"/>
          <w:szCs w:val="28"/>
          <w:rtl/>
          <w:lang w:bidi="ar-IQ"/>
        </w:rPr>
      </w:pPr>
      <w:r w:rsidRPr="00794FA3">
        <w:rPr>
          <w:rFonts w:cs="Arial"/>
          <w:b/>
          <w:bCs/>
          <w:sz w:val="28"/>
          <w:szCs w:val="28"/>
          <w:rtl/>
          <w:lang w:bidi="ar-IQ"/>
        </w:rPr>
        <w:t>​لا يعتبر الانضمام إلى الأمم المتحدة مجرد إجراء شكلي، بل هو عملية قانونية وسياسية معقدة تشترك فيها الأجهزة الرئيسية للمنظمة (مجلس الأمن والجمعية العامة). تهدف هذه الإجراءات إلى التأكد من استيفاء الدولة الراغبة في الانضمام للشروط الموضوعية (كالسلم والقدرة على تنفيذ الالتزامات</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​أولاً: الشروط الإجرائية للانضمام (المسار القانوني</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​تتم عملية الانضمام عبر أربع خطوات أساسية حددها الميثاق واللائحة الداخلية</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​تقديم الطلب: يجب على الدولة التي ترغب في الانضمام تقديم طلب رسمي إلى الأمين العام للأمم المتحدة. يجب أن يتضمن هذا الطلب "إعلاناً رسمياً" بقبول الالتزامات الواردة في الميثاق</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​دور مجلس الأمن (لجنة فحص الأعضاء): يحيل الأمين العام الطلب فوراً إلى مجلس الأمن. يقوم رئيس المجلس بإحالة الطلب إلى لجنة فرعية تسمى "لجنة قبول الأعضاء الجدد"، وتتكون من ممثل عن كل دولة عضو في المجلس</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​التوقيت: يجب أن تقدم اللجنة تقريرها للمجلس في مدة لا تقل عن 35 يوماً قبل بدء دورة الجمعية العامة العادية</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​توصية مجلس الأمن: لكي يكون الطلب صحيحاً، يجب أن يصدر المجلس "توصية إيجابية". يتطلب ذلك موافقة 9 أعضاء من أصل 15، بشرط عدم استخدام حق النقض</w:t>
      </w:r>
      <w:r w:rsidRPr="00794FA3">
        <w:rPr>
          <w:b/>
          <w:bCs/>
          <w:sz w:val="28"/>
          <w:szCs w:val="28"/>
          <w:lang w:bidi="ar-IQ"/>
        </w:rPr>
        <w:t xml:space="preserve"> (Veto) </w:t>
      </w:r>
      <w:r w:rsidRPr="00794FA3">
        <w:rPr>
          <w:rFonts w:cs="Arial"/>
          <w:b/>
          <w:bCs/>
          <w:sz w:val="28"/>
          <w:szCs w:val="28"/>
          <w:rtl/>
          <w:lang w:bidi="ar-IQ"/>
        </w:rPr>
        <w:t>من قبل أي من الدول الخمس دائمة العضوية</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​قرار الجمعية العامة: إذا صدرت توصية المجلس، يعرض الأمر على الجمعية العامة. يتم التصويت، ويشترط لقبول الدولة موافقة أغلبية ثلثي الأعضاء الحاضرين والمشتركين في التصويت</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​ثانياً: التكييف القانوني لتوصية مجلس الأمن (الأزمات القانونية</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​تطرقت الأوراق إلى إشكالية قانونية كبرى ظهرت في تاريخ المنظمة: هل يمكن للجمعية العامة قبول عضو دون توصية إيجابية من مجلس الأمن؟</w:t>
      </w:r>
    </w:p>
    <w:p w:rsidR="00794FA3" w:rsidRPr="00794FA3" w:rsidRDefault="00794FA3" w:rsidP="00794FA3">
      <w:pPr>
        <w:bidi/>
        <w:rPr>
          <w:b/>
          <w:bCs/>
          <w:sz w:val="28"/>
          <w:szCs w:val="28"/>
          <w:rtl/>
          <w:lang w:bidi="ar-IQ"/>
        </w:rPr>
      </w:pPr>
      <w:r w:rsidRPr="00794FA3">
        <w:rPr>
          <w:rFonts w:cs="Arial"/>
          <w:b/>
          <w:bCs/>
          <w:sz w:val="28"/>
          <w:szCs w:val="28"/>
          <w:rtl/>
          <w:lang w:bidi="ar-IQ"/>
        </w:rPr>
        <w:t>​رأي وفد أستراليا: يرى أن دور مجلس الأمن يقتصر على الأمور المتعلقة بالأمن والسلم، وإذا لم تكن هناك مشكلة أمنية، فإن الاختصاص المطلق يعود للجمعية العامة</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​رأي وفد الأرجنتين: ذهب لأبعد من ذلك، معتبراً أن مسألة قبول الأعضاء ليست "موضوعية" بل "إجرائية"، وبالتالي لا يجوز فيها استخدام حق النقض</w:t>
      </w:r>
      <w:r w:rsidRPr="00794FA3">
        <w:rPr>
          <w:b/>
          <w:bCs/>
          <w:sz w:val="28"/>
          <w:szCs w:val="28"/>
          <w:lang w:bidi="ar-IQ"/>
        </w:rPr>
        <w:t xml:space="preserve"> (Veto).</w:t>
      </w:r>
    </w:p>
    <w:p w:rsidR="00794FA3" w:rsidRPr="00794FA3" w:rsidRDefault="00794FA3" w:rsidP="00794FA3">
      <w:pPr>
        <w:bidi/>
        <w:rPr>
          <w:b/>
          <w:bCs/>
          <w:sz w:val="28"/>
          <w:szCs w:val="28"/>
          <w:rtl/>
          <w:lang w:bidi="ar-IQ"/>
        </w:rPr>
      </w:pPr>
      <w:r w:rsidRPr="00794FA3">
        <w:rPr>
          <w:rFonts w:cs="Arial"/>
          <w:b/>
          <w:bCs/>
          <w:sz w:val="28"/>
          <w:szCs w:val="28"/>
          <w:rtl/>
          <w:lang w:bidi="ar-IQ"/>
        </w:rPr>
        <w:t>​حسم محكمة العدل الدولية (رأي استشاري 1950</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lastRenderedPageBreak/>
        <w:t>رفضت المحكمة هذه الاجتهادات وأكدت على أن</w:t>
      </w:r>
      <w:r w:rsidRPr="00794FA3">
        <w:rPr>
          <w:b/>
          <w:bCs/>
          <w:sz w:val="28"/>
          <w:szCs w:val="28"/>
          <w:lang w:bidi="ar-IQ"/>
        </w:rPr>
        <w:t>:</w:t>
      </w:r>
    </w:p>
    <w:p w:rsidR="00794FA3" w:rsidRPr="00794FA3" w:rsidRDefault="00794FA3" w:rsidP="00794FA3">
      <w:pPr>
        <w:bidi/>
        <w:rPr>
          <w:b/>
          <w:bCs/>
          <w:sz w:val="28"/>
          <w:szCs w:val="28"/>
          <w:rtl/>
          <w:lang w:bidi="ar-IQ"/>
        </w:rPr>
      </w:pPr>
      <w:r w:rsidRPr="00794FA3">
        <w:rPr>
          <w:b/>
          <w:bCs/>
          <w:sz w:val="28"/>
          <w:szCs w:val="28"/>
          <w:lang w:bidi="ar-IQ"/>
        </w:rPr>
        <w:t>​</w:t>
      </w:r>
      <w:proofErr w:type="gramStart"/>
      <w:r w:rsidRPr="00794FA3">
        <w:rPr>
          <w:b/>
          <w:bCs/>
          <w:sz w:val="28"/>
          <w:szCs w:val="28"/>
          <w:lang w:bidi="ar-IQ"/>
        </w:rPr>
        <w:t>"</w:t>
      </w:r>
      <w:r w:rsidRPr="00794FA3">
        <w:rPr>
          <w:rFonts w:cs="Arial"/>
          <w:b/>
          <w:bCs/>
          <w:sz w:val="28"/>
          <w:szCs w:val="28"/>
          <w:rtl/>
          <w:lang w:bidi="ar-IQ"/>
        </w:rPr>
        <w:t>توصية مجلس الأمن هي شرط لا بد منه وقاعدة قانونية تسبق قرار الجمعية العامة، ولا تملك الجمعية العامة سلطة تجاوز غياب التوصية أو رفضها من قبل المجلس</w:t>
      </w:r>
      <w:r w:rsidRPr="00794FA3">
        <w:rPr>
          <w:b/>
          <w:bCs/>
          <w:sz w:val="28"/>
          <w:szCs w:val="28"/>
          <w:lang w:bidi="ar-IQ"/>
        </w:rPr>
        <w:t>".</w:t>
      </w:r>
      <w:proofErr w:type="gramEnd"/>
    </w:p>
    <w:p w:rsidR="00794FA3" w:rsidRPr="00794FA3" w:rsidRDefault="00794FA3" w:rsidP="00794FA3">
      <w:pPr>
        <w:bidi/>
        <w:rPr>
          <w:b/>
          <w:bCs/>
          <w:sz w:val="28"/>
          <w:szCs w:val="28"/>
          <w:rtl/>
          <w:lang w:bidi="ar-IQ"/>
        </w:rPr>
      </w:pPr>
      <w:r w:rsidRPr="00794FA3">
        <w:rPr>
          <w:rFonts w:cs="Arial"/>
          <w:b/>
          <w:bCs/>
          <w:sz w:val="28"/>
          <w:szCs w:val="28"/>
          <w:rtl/>
          <w:lang w:bidi="ar-IQ"/>
        </w:rPr>
        <w:t>​ثالثاً: الأبعاد السياسية في قبول الأعضاء (أزمة العضوية</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​تشير الأوراق إلى أن عملية القبول لم تكن دائماً قانونية بحتة، بل خضعت للتجاذبات السياسية، خاصة في فترة "الحرب الباردة</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​استخدمت القوى الكبرى (الشرق والغرب) حق النقض لمنع انضمام دول موالية للمعسكر الآخر</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​قاعدة "حسن النية": يفترض الميثاق أن الدول تتقدم للانضمام برغبة صادقة في السلام، لكن الواقع السياسي جعل من "التوصية" أداة للضغط السياسي</w:t>
      </w:r>
      <w:r w:rsidRPr="00794FA3">
        <w:rPr>
          <w:b/>
          <w:bCs/>
          <w:sz w:val="28"/>
          <w:szCs w:val="28"/>
          <w:lang w:bidi="ar-IQ"/>
        </w:rPr>
        <w:t>.</w:t>
      </w:r>
    </w:p>
    <w:p w:rsidR="00794FA3" w:rsidRPr="00794FA3" w:rsidRDefault="00794FA3" w:rsidP="00794FA3">
      <w:pPr>
        <w:bidi/>
        <w:rPr>
          <w:b/>
          <w:bCs/>
          <w:sz w:val="28"/>
          <w:szCs w:val="28"/>
          <w:rtl/>
          <w:lang w:bidi="ar-IQ"/>
        </w:rPr>
      </w:pPr>
      <w:r w:rsidRPr="00794FA3">
        <w:rPr>
          <w:rFonts w:cs="Arial"/>
          <w:b/>
          <w:bCs/>
          <w:sz w:val="28"/>
          <w:szCs w:val="28"/>
          <w:rtl/>
          <w:lang w:bidi="ar-IQ"/>
        </w:rPr>
        <w:t>​خلاصة المحاضرة</w:t>
      </w:r>
      <w:r w:rsidRPr="00794FA3">
        <w:rPr>
          <w:b/>
          <w:bCs/>
          <w:sz w:val="28"/>
          <w:szCs w:val="28"/>
          <w:lang w:bidi="ar-IQ"/>
        </w:rPr>
        <w:t>:</w:t>
      </w:r>
      <w:r>
        <w:rPr>
          <w:rFonts w:hint="cs"/>
          <w:b/>
          <w:bCs/>
          <w:sz w:val="28"/>
          <w:szCs w:val="28"/>
          <w:rtl/>
          <w:lang w:bidi="ar-IQ"/>
        </w:rPr>
        <w:t xml:space="preserve"> </w:t>
      </w:r>
      <w:r w:rsidRPr="00794FA3">
        <w:rPr>
          <w:rFonts w:cs="Arial"/>
          <w:b/>
          <w:bCs/>
          <w:sz w:val="28"/>
          <w:szCs w:val="28"/>
          <w:rtl/>
          <w:lang w:bidi="ar-IQ"/>
        </w:rPr>
        <w:t>عملية الانضمام للأمم المتحدة هي مزيج بين إرادة الجمعية العامة وفيتو مجلس الأمن. ورغم المحاولات القانونية لتقليص سلطة المجلس (خاصة من دول مثل أستراليا والأرجنتين)، إلا أن العرف القانوني وقرارات محكمة العدل الدولية ثبتت ضرورة "التوصية المشتركة" كشرط لا غنى عنه</w:t>
      </w:r>
      <w:r w:rsidRPr="00794FA3">
        <w:rPr>
          <w:b/>
          <w:bCs/>
          <w:sz w:val="28"/>
          <w:szCs w:val="28"/>
          <w:lang w:bidi="ar-IQ"/>
        </w:rPr>
        <w:t>.</w:t>
      </w:r>
    </w:p>
    <w:p w:rsidR="007142F9" w:rsidRPr="00785630" w:rsidRDefault="00794FA3" w:rsidP="00794FA3">
      <w:pPr>
        <w:bidi/>
        <w:jc w:val="both"/>
        <w:rPr>
          <w:rFonts w:hint="cs"/>
          <w:b/>
          <w:bCs/>
          <w:sz w:val="28"/>
          <w:szCs w:val="28"/>
          <w:lang w:bidi="ar-IQ"/>
        </w:rPr>
      </w:pPr>
      <w:r w:rsidRPr="00794FA3">
        <w:rPr>
          <w:rFonts w:cs="Arial"/>
          <w:b/>
          <w:bCs/>
          <w:sz w:val="28"/>
          <w:szCs w:val="28"/>
          <w:rtl/>
          <w:lang w:bidi="ar-IQ"/>
        </w:rPr>
        <w:t>​</w:t>
      </w:r>
      <w:r>
        <w:rPr>
          <w:rFonts w:cs="Arial" w:hint="cs"/>
          <w:b/>
          <w:bCs/>
          <w:sz w:val="28"/>
          <w:szCs w:val="28"/>
          <w:rtl/>
          <w:lang w:bidi="ar-IQ"/>
        </w:rPr>
        <w:t xml:space="preserve">مهم جدا </w:t>
      </w:r>
      <w:r w:rsidRPr="00794FA3">
        <w:rPr>
          <w:rFonts w:cs="Arial"/>
          <w:b/>
          <w:bCs/>
          <w:sz w:val="28"/>
          <w:szCs w:val="28"/>
          <w:rtl/>
          <w:lang w:bidi="ar-IQ"/>
        </w:rPr>
        <w:t xml:space="preserve"> </w:t>
      </w:r>
      <w:r>
        <w:rPr>
          <w:rFonts w:cs="Arial" w:hint="cs"/>
          <w:b/>
          <w:bCs/>
          <w:sz w:val="28"/>
          <w:szCs w:val="28"/>
          <w:rtl/>
          <w:lang w:bidi="ar-IQ"/>
        </w:rPr>
        <w:t>ت</w:t>
      </w:r>
      <w:r w:rsidRPr="00794FA3">
        <w:rPr>
          <w:rFonts w:cs="Arial"/>
          <w:b/>
          <w:bCs/>
          <w:sz w:val="28"/>
          <w:szCs w:val="28"/>
          <w:rtl/>
          <w:lang w:bidi="ar-IQ"/>
        </w:rPr>
        <w:t>ركز على (المادة 4/2) من الميثاق، فهي المحرك الأساسي لكل هذه الإجراءات، وانتبه للفرق بين "التوصية" (من المجلس) و"القرار" (من الجمعية العامة).</w:t>
      </w:r>
    </w:p>
    <w:sectPr w:rsidR="007142F9" w:rsidRPr="00785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2716"/>
    <w:multiLevelType w:val="multilevel"/>
    <w:tmpl w:val="5C547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863CD9"/>
    <w:multiLevelType w:val="multilevel"/>
    <w:tmpl w:val="1A74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472A4"/>
    <w:multiLevelType w:val="multilevel"/>
    <w:tmpl w:val="84482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A8491B"/>
    <w:multiLevelType w:val="multilevel"/>
    <w:tmpl w:val="B978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087098"/>
    <w:multiLevelType w:val="multilevel"/>
    <w:tmpl w:val="73C0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5F20AE"/>
    <w:multiLevelType w:val="multilevel"/>
    <w:tmpl w:val="E048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4E"/>
    <w:rsid w:val="000756E6"/>
    <w:rsid w:val="007142F9"/>
    <w:rsid w:val="00785630"/>
    <w:rsid w:val="00794FA3"/>
    <w:rsid w:val="007C61E9"/>
    <w:rsid w:val="008A2B4E"/>
    <w:rsid w:val="00961301"/>
    <w:rsid w:val="009A7BED"/>
    <w:rsid w:val="00C4791B"/>
    <w:rsid w:val="00D30CC8"/>
    <w:rsid w:val="00EE34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A2B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2B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B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2B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2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8A2B4E"/>
  </w:style>
  <w:style w:type="paragraph" w:styleId="BalloonText">
    <w:name w:val="Balloon Text"/>
    <w:basedOn w:val="Normal"/>
    <w:link w:val="BalloonTextChar"/>
    <w:uiPriority w:val="99"/>
    <w:semiHidden/>
    <w:unhideWhenUsed/>
    <w:rsid w:val="008A2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B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A2B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2B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B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2B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2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8A2B4E"/>
  </w:style>
  <w:style w:type="paragraph" w:styleId="BalloonText">
    <w:name w:val="Balloon Text"/>
    <w:basedOn w:val="Normal"/>
    <w:link w:val="BalloonTextChar"/>
    <w:uiPriority w:val="99"/>
    <w:semiHidden/>
    <w:unhideWhenUsed/>
    <w:rsid w:val="008A2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94855">
      <w:bodyDiv w:val="1"/>
      <w:marLeft w:val="0"/>
      <w:marRight w:val="0"/>
      <w:marTop w:val="0"/>
      <w:marBottom w:val="0"/>
      <w:divBdr>
        <w:top w:val="none" w:sz="0" w:space="0" w:color="auto"/>
        <w:left w:val="none" w:sz="0" w:space="0" w:color="auto"/>
        <w:bottom w:val="none" w:sz="0" w:space="0" w:color="auto"/>
        <w:right w:val="none" w:sz="0" w:space="0" w:color="auto"/>
      </w:divBdr>
      <w:divsChild>
        <w:div w:id="1720592132">
          <w:marLeft w:val="0"/>
          <w:marRight w:val="0"/>
          <w:marTop w:val="0"/>
          <w:marBottom w:val="0"/>
          <w:divBdr>
            <w:top w:val="none" w:sz="0" w:space="0" w:color="auto"/>
            <w:left w:val="none" w:sz="0" w:space="0" w:color="auto"/>
            <w:bottom w:val="none" w:sz="0" w:space="0" w:color="auto"/>
            <w:right w:val="none" w:sz="0" w:space="0" w:color="auto"/>
          </w:divBdr>
          <w:divsChild>
            <w:div w:id="1044210511">
              <w:marLeft w:val="0"/>
              <w:marRight w:val="0"/>
              <w:marTop w:val="0"/>
              <w:marBottom w:val="0"/>
              <w:divBdr>
                <w:top w:val="none" w:sz="0" w:space="0" w:color="auto"/>
                <w:left w:val="none" w:sz="0" w:space="0" w:color="auto"/>
                <w:bottom w:val="none" w:sz="0" w:space="0" w:color="auto"/>
                <w:right w:val="none" w:sz="0" w:space="0" w:color="auto"/>
              </w:divBdr>
              <w:divsChild>
                <w:div w:id="2107143701">
                  <w:marLeft w:val="0"/>
                  <w:marRight w:val="0"/>
                  <w:marTop w:val="0"/>
                  <w:marBottom w:val="0"/>
                  <w:divBdr>
                    <w:top w:val="none" w:sz="0" w:space="0" w:color="auto"/>
                    <w:left w:val="none" w:sz="0" w:space="0" w:color="auto"/>
                    <w:bottom w:val="none" w:sz="0" w:space="0" w:color="auto"/>
                    <w:right w:val="none" w:sz="0" w:space="0" w:color="auto"/>
                  </w:divBdr>
                  <w:divsChild>
                    <w:div w:id="1185555409">
                      <w:marLeft w:val="0"/>
                      <w:marRight w:val="0"/>
                      <w:marTop w:val="0"/>
                      <w:marBottom w:val="0"/>
                      <w:divBdr>
                        <w:top w:val="none" w:sz="0" w:space="0" w:color="auto"/>
                        <w:left w:val="none" w:sz="0" w:space="0" w:color="auto"/>
                        <w:bottom w:val="none" w:sz="0" w:space="0" w:color="auto"/>
                        <w:right w:val="none" w:sz="0" w:space="0" w:color="auto"/>
                      </w:divBdr>
                    </w:div>
                    <w:div w:id="4844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2</cp:revision>
  <dcterms:created xsi:type="dcterms:W3CDTF">2026-03-10T12:52:00Z</dcterms:created>
  <dcterms:modified xsi:type="dcterms:W3CDTF">2026-03-10T12:52:00Z</dcterms:modified>
</cp:coreProperties>
</file>